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附件</w:t>
      </w:r>
    </w:p>
    <w:p>
      <w:pPr>
        <w:adjustRightInd w:val="0"/>
        <w:snapToGrid w:val="0"/>
        <w:spacing w:line="360" w:lineRule="auto"/>
        <w:jc w:val="center"/>
        <w:rPr>
          <w:rFonts w:hint="eastAsia" w:ascii="宋体" w:hAnsi="宋体" w:eastAsia="宋体" w:cs="Times New Roman"/>
          <w:b/>
          <w:sz w:val="32"/>
          <w:szCs w:val="32"/>
        </w:rPr>
      </w:pPr>
      <w:bookmarkStart w:id="10" w:name="_GoBack"/>
      <w:r>
        <w:rPr>
          <w:rFonts w:hint="eastAsia" w:ascii="宋体" w:hAnsi="宋体" w:eastAsia="宋体" w:cs="Times New Roman"/>
          <w:b/>
          <w:sz w:val="32"/>
          <w:szCs w:val="32"/>
        </w:rPr>
        <w:t>宠物眼用制剂品种说明书征求意见稿</w:t>
      </w:r>
    </w:p>
    <w:bookmarkEnd w:id="10"/>
    <w:p>
      <w:pPr>
        <w:adjustRightInd w:val="0"/>
        <w:snapToGrid w:val="0"/>
        <w:spacing w:line="360" w:lineRule="auto"/>
        <w:jc w:val="center"/>
        <w:rPr>
          <w:rFonts w:ascii="宋体" w:hAnsi="宋体" w:eastAsia="宋体" w:cs="Times New Roman"/>
          <w:sz w:val="32"/>
          <w:szCs w:val="32"/>
        </w:rPr>
      </w:pPr>
      <w:r>
        <w:rPr>
          <w:rFonts w:hint="eastAsia" w:ascii="宋体" w:hAnsi="宋体" w:eastAsia="宋体" w:cs="Times New Roman"/>
          <w:sz w:val="32"/>
          <w:szCs w:val="32"/>
        </w:rPr>
        <w:t>目 录</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马来酸噻马洛尔滴眼液说明书</w:t>
      </w:r>
      <w:r>
        <w:rPr>
          <w:rFonts w:ascii="宋体" w:hAnsi="宋体" w:eastAsia="宋体" w:cs="Times New Roman"/>
          <w:sz w:val="28"/>
          <w:szCs w:val="28"/>
        </w:rPr>
        <w:t>…………………………………………</w:t>
      </w:r>
      <w:r>
        <w:rPr>
          <w:rFonts w:hint="eastAsia" w:ascii="宋体" w:hAnsi="宋体" w:eastAsia="宋体" w:cs="Times New Roman"/>
          <w:sz w:val="28"/>
          <w:szCs w:val="28"/>
        </w:rPr>
        <w:t>1</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双氯芬酸钠滴眼液说明书</w:t>
      </w:r>
      <w:r>
        <w:rPr>
          <w:rFonts w:ascii="宋体" w:hAnsi="宋体" w:eastAsia="宋体" w:cs="Times New Roman"/>
          <w:sz w:val="28"/>
          <w:szCs w:val="28"/>
        </w:rPr>
        <w:t>………………………………………………</w:t>
      </w:r>
      <w:r>
        <w:rPr>
          <w:rFonts w:hint="eastAsia" w:ascii="宋体" w:hAnsi="宋体" w:eastAsia="宋体" w:cs="Times New Roman"/>
          <w:sz w:val="28"/>
          <w:szCs w:val="28"/>
        </w:rPr>
        <w:t>3</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左氧氟沙星滴眼液说明书</w:t>
      </w:r>
      <w:r>
        <w:rPr>
          <w:rFonts w:ascii="宋体" w:hAnsi="宋体" w:eastAsia="宋体" w:cs="Times New Roman"/>
          <w:sz w:val="28"/>
          <w:szCs w:val="28"/>
        </w:rPr>
        <w:t>………………………………………………</w:t>
      </w:r>
      <w:r>
        <w:rPr>
          <w:rFonts w:hint="eastAsia" w:ascii="宋体" w:hAnsi="宋体" w:eastAsia="宋体" w:cs="Times New Roman"/>
          <w:sz w:val="28"/>
          <w:szCs w:val="28"/>
        </w:rPr>
        <w:t>4</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布林佐胺滴眼液说明书</w:t>
      </w:r>
      <w:r>
        <w:rPr>
          <w:rFonts w:ascii="宋体" w:hAnsi="宋体" w:eastAsia="宋体" w:cs="Times New Roman"/>
          <w:sz w:val="28"/>
          <w:szCs w:val="28"/>
        </w:rPr>
        <w:t>…………………………………………………</w:t>
      </w:r>
      <w:r>
        <w:rPr>
          <w:rFonts w:hint="eastAsia" w:ascii="宋体" w:hAnsi="宋体" w:eastAsia="宋体" w:cs="Times New Roman"/>
          <w:sz w:val="28"/>
          <w:szCs w:val="28"/>
        </w:rPr>
        <w:t>5</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红霉素眼膏说明书</w:t>
      </w:r>
      <w:r>
        <w:rPr>
          <w:rFonts w:ascii="宋体" w:hAnsi="宋体" w:eastAsia="宋体" w:cs="Times New Roman"/>
          <w:sz w:val="28"/>
          <w:szCs w:val="28"/>
        </w:rPr>
        <w:t>………………………………………………………</w:t>
      </w:r>
      <w:r>
        <w:rPr>
          <w:rFonts w:hint="eastAsia" w:ascii="宋体" w:hAnsi="宋体" w:eastAsia="宋体" w:cs="Times New Roman"/>
          <w:sz w:val="28"/>
          <w:szCs w:val="28"/>
        </w:rPr>
        <w:t>7</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更昔洛韦滴眼液说明书</w:t>
      </w:r>
      <w:r>
        <w:rPr>
          <w:rFonts w:ascii="宋体" w:hAnsi="宋体" w:eastAsia="宋体" w:cs="Times New Roman"/>
          <w:sz w:val="28"/>
          <w:szCs w:val="28"/>
        </w:rPr>
        <w:t>…………………………………………………</w:t>
      </w:r>
      <w:r>
        <w:rPr>
          <w:rFonts w:hint="eastAsia" w:ascii="宋体" w:hAnsi="宋体" w:eastAsia="宋体" w:cs="Times New Roman"/>
          <w:sz w:val="28"/>
          <w:szCs w:val="28"/>
        </w:rPr>
        <w:t>8</w:t>
      </w:r>
    </w:p>
    <w:p>
      <w:pPr>
        <w:adjustRightInd w:val="0"/>
        <w:snapToGrid w:val="0"/>
        <w:spacing w:line="360" w:lineRule="auto"/>
        <w:jc w:val="left"/>
        <w:rPr>
          <w:rFonts w:ascii="宋体" w:hAnsi="宋体" w:eastAsia="宋体" w:cs="Times New Roman"/>
          <w:sz w:val="28"/>
          <w:szCs w:val="28"/>
        </w:rPr>
      </w:pPr>
      <w:r>
        <w:rPr>
          <w:rFonts w:hint="eastAsia" w:ascii="宋体" w:hAnsi="宋体" w:eastAsia="宋体" w:cs="Times New Roman"/>
          <w:sz w:val="28"/>
          <w:szCs w:val="28"/>
        </w:rPr>
        <w:t>妥布霉素滴眼液说明书</w:t>
      </w:r>
      <w:r>
        <w:rPr>
          <w:rFonts w:ascii="宋体" w:hAnsi="宋体" w:eastAsia="宋体" w:cs="Times New Roman"/>
          <w:sz w:val="28"/>
          <w:szCs w:val="28"/>
        </w:rPr>
        <w:t>…………………………………………………</w:t>
      </w:r>
      <w:r>
        <w:rPr>
          <w:rFonts w:hint="eastAsia" w:ascii="宋体" w:hAnsi="宋体" w:eastAsia="宋体" w:cs="Times New Roman"/>
          <w:sz w:val="28"/>
          <w:szCs w:val="28"/>
        </w:rPr>
        <w:t>9</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环孢素滴眼液说明书</w:t>
      </w:r>
      <w:r>
        <w:rPr>
          <w:rFonts w:ascii="宋体" w:hAnsi="宋体" w:eastAsia="宋体" w:cs="Times New Roman"/>
          <w:sz w:val="28"/>
          <w:szCs w:val="28"/>
        </w:rPr>
        <w:t>…………………………………………………</w:t>
      </w:r>
      <w:r>
        <w:rPr>
          <w:rFonts w:hint="eastAsia" w:ascii="宋体" w:hAnsi="宋体" w:eastAsia="宋体" w:cs="Times New Roman"/>
          <w:sz w:val="28"/>
          <w:szCs w:val="28"/>
        </w:rPr>
        <w:t>10</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拉坦前列素滴眼液说明书</w:t>
      </w:r>
      <w:r>
        <w:rPr>
          <w:rFonts w:ascii="宋体" w:hAnsi="宋体" w:eastAsia="宋体" w:cs="Times New Roman"/>
          <w:sz w:val="28"/>
          <w:szCs w:val="28"/>
        </w:rPr>
        <w:t>……………………………………………</w:t>
      </w:r>
      <w:r>
        <w:rPr>
          <w:rFonts w:hint="eastAsia" w:ascii="宋体" w:hAnsi="宋体" w:eastAsia="宋体" w:cs="Times New Roman"/>
          <w:sz w:val="28"/>
          <w:szCs w:val="28"/>
        </w:rPr>
        <w:t>11</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盐酸莫西沙星滴眼液说明书</w:t>
      </w:r>
      <w:r>
        <w:rPr>
          <w:rFonts w:ascii="宋体" w:hAnsi="宋体" w:eastAsia="宋体" w:cs="Times New Roman"/>
          <w:sz w:val="28"/>
          <w:szCs w:val="28"/>
        </w:rPr>
        <w:t>…………………………………………</w:t>
      </w:r>
      <w:r>
        <w:rPr>
          <w:rFonts w:hint="eastAsia" w:ascii="宋体" w:hAnsi="宋体" w:eastAsia="宋体" w:cs="Times New Roman"/>
          <w:sz w:val="28"/>
          <w:szCs w:val="28"/>
        </w:rPr>
        <w:t>13</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氧氟沙星滴眼液说明书</w:t>
      </w:r>
      <w:r>
        <w:rPr>
          <w:rFonts w:ascii="宋体" w:hAnsi="宋体" w:eastAsia="宋体" w:cs="Times New Roman"/>
          <w:sz w:val="28"/>
          <w:szCs w:val="28"/>
        </w:rPr>
        <w:t>………………………………………………</w:t>
      </w:r>
      <w:r>
        <w:rPr>
          <w:rFonts w:hint="eastAsia" w:ascii="宋体" w:hAnsi="宋体" w:eastAsia="宋体" w:cs="Times New Roman"/>
          <w:sz w:val="28"/>
          <w:szCs w:val="28"/>
        </w:rPr>
        <w:t>15</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硝酸毛果芸香碱滴眼液说明书</w:t>
      </w:r>
      <w:r>
        <w:rPr>
          <w:rFonts w:ascii="宋体" w:hAnsi="宋体" w:eastAsia="宋体" w:cs="Times New Roman"/>
          <w:sz w:val="28"/>
          <w:szCs w:val="28"/>
        </w:rPr>
        <w:t>………………………………………</w:t>
      </w:r>
      <w:r>
        <w:rPr>
          <w:rFonts w:hint="eastAsia" w:ascii="宋体" w:hAnsi="宋体" w:eastAsia="宋体" w:cs="Times New Roman"/>
          <w:sz w:val="28"/>
          <w:szCs w:val="28"/>
        </w:rPr>
        <w:t>16</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硫酸阿托品眼膏说明书</w:t>
      </w:r>
      <w:r>
        <w:rPr>
          <w:rFonts w:ascii="宋体" w:hAnsi="宋体" w:eastAsia="宋体" w:cs="Times New Roman"/>
          <w:sz w:val="28"/>
          <w:szCs w:val="28"/>
        </w:rPr>
        <w:t>………………………………………………</w:t>
      </w:r>
      <w:r>
        <w:rPr>
          <w:rFonts w:hint="eastAsia" w:ascii="宋体" w:hAnsi="宋体" w:eastAsia="宋体" w:cs="Times New Roman"/>
          <w:sz w:val="28"/>
          <w:szCs w:val="28"/>
        </w:rPr>
        <w:t>18</w:t>
      </w:r>
    </w:p>
    <w:p>
      <w:pPr>
        <w:adjustRightInd w:val="0"/>
        <w:snapToGrid w:val="0"/>
        <w:spacing w:line="360" w:lineRule="auto"/>
        <w:jc w:val="distribute"/>
        <w:rPr>
          <w:rFonts w:ascii="宋体" w:hAnsi="宋体" w:eastAsia="宋体" w:cs="Times New Roman"/>
          <w:sz w:val="28"/>
          <w:szCs w:val="28"/>
        </w:rPr>
      </w:pPr>
      <w:r>
        <w:rPr>
          <w:rFonts w:hint="eastAsia" w:ascii="宋体" w:hAnsi="宋体" w:eastAsia="宋体" w:cs="Times New Roman"/>
          <w:sz w:val="28"/>
          <w:szCs w:val="28"/>
        </w:rPr>
        <w:t>醋酸泼尼松龙滴眼液说明书</w:t>
      </w:r>
      <w:r>
        <w:rPr>
          <w:rFonts w:ascii="宋体" w:hAnsi="宋体" w:eastAsia="宋体" w:cs="Times New Roman"/>
          <w:sz w:val="28"/>
          <w:szCs w:val="28"/>
        </w:rPr>
        <w:t>…………………………………………</w:t>
      </w:r>
      <w:r>
        <w:rPr>
          <w:rFonts w:hint="eastAsia" w:ascii="宋体" w:hAnsi="宋体" w:eastAsia="宋体" w:cs="Times New Roman"/>
          <w:sz w:val="28"/>
          <w:szCs w:val="28"/>
        </w:rPr>
        <w:t>19</w:t>
      </w: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rPr>
          <w:rFonts w:hint="eastAsia"/>
        </w:rPr>
      </w:pPr>
    </w:p>
    <w:p/>
    <w:p>
      <w:pPr>
        <w:widowControl/>
        <w:shd w:val="clear" w:color="auto" w:fill="FFFFFF"/>
        <w:jc w:val="center"/>
        <w:outlineLvl w:val="0"/>
        <w:rPr>
          <w:rFonts w:ascii="黑体" w:hAnsi="黑体" w:eastAsia="黑体" w:cs="黑体"/>
          <w:b/>
          <w:bCs/>
          <w:kern w:val="44"/>
          <w:szCs w:val="21"/>
          <w:shd w:val="clear" w:color="auto" w:fill="FFFFFF"/>
        </w:rPr>
      </w:pPr>
      <w:r>
        <w:rPr>
          <w:rFonts w:ascii="黑体" w:hAnsi="黑体" w:eastAsia="黑体" w:cs="黑体"/>
          <w:b/>
          <w:bCs/>
          <w:kern w:val="44"/>
          <w:szCs w:val="21"/>
          <w:shd w:val="clear" w:color="auto" w:fill="FFFFFF"/>
        </w:rPr>
        <w:t>马来酸噻吗洛尔滴眼液说明书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马来酸噻吗洛尔滴眼液</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bookmarkStart w:id="0" w:name="OLE_LINK9"/>
      <w:r>
        <w:rPr>
          <w:rFonts w:hint="eastAsia" w:ascii="Times New Roman" w:hAnsi="Times New Roman" w:eastAsia="宋体" w:cs="Times New Roman"/>
          <w:bCs/>
          <w:kern w:val="0"/>
          <w:szCs w:val="21"/>
        </w:rPr>
        <w:t>Timolol Maleate</w:t>
      </w:r>
      <w:bookmarkEnd w:id="0"/>
      <w:r>
        <w:rPr>
          <w:rFonts w:hint="eastAsia" w:ascii="Times New Roman" w:hAnsi="Times New Roman" w:eastAsia="宋体" w:cs="Times New Roman"/>
          <w:bCs/>
          <w:kern w:val="0"/>
          <w:szCs w:val="21"/>
        </w:rPr>
        <w:t xml:space="preserve"> Eye Drops</w:t>
      </w:r>
    </w:p>
    <w:p>
      <w:pPr>
        <w:widowControl/>
        <w:shd w:val="clear" w:color="auto" w:fill="FFFFFF"/>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汉语拼音</w:t>
      </w:r>
      <w:r>
        <w:rPr>
          <w:rFonts w:ascii="Times New Roman" w:hAnsi="Times New Roman" w:eastAsia="宋体" w:cs="Times New Roman"/>
          <w:bCs/>
          <w:sz w:val="24"/>
          <w:szCs w:val="21"/>
        </w:rPr>
        <w:t>：</w:t>
      </w:r>
      <w:r>
        <w:rPr>
          <w:rFonts w:hint="eastAsia" w:ascii="Times New Roman" w:hAnsi="Times New Roman" w:eastAsia="宋体" w:cs="Times New Roman"/>
          <w:bCs/>
          <w:kern w:val="0"/>
          <w:szCs w:val="21"/>
        </w:rPr>
        <w:t>Malaisuan Saimaluo</w:t>
      </w:r>
      <w:r>
        <w:rPr>
          <w:rFonts w:ascii="Times New Roman" w:hAnsi="Times New Roman" w:eastAsia="宋体" w:cs="Times New Roman"/>
          <w:bCs/>
          <w:kern w:val="0"/>
          <w:szCs w:val="21"/>
        </w:rPr>
        <w:t>’</w:t>
      </w:r>
      <w:r>
        <w:rPr>
          <w:rFonts w:hint="eastAsia" w:ascii="Times New Roman" w:hAnsi="Times New Roman" w:eastAsia="宋体" w:cs="Times New Roman"/>
          <w:bCs/>
          <w:kern w:val="0"/>
          <w:szCs w:val="21"/>
        </w:rPr>
        <w:t>er Diyanye</w:t>
      </w:r>
    </w:p>
    <w:p>
      <w:pPr>
        <w:widowControl/>
        <w:ind w:right="150"/>
        <w:rPr>
          <w:rFonts w:ascii="黑体" w:hAnsi="黑体" w:eastAsia="黑体" w:cs="Times New Roman"/>
          <w:b/>
          <w:bCs/>
          <w:kern w:val="0"/>
          <w:szCs w:val="21"/>
        </w:rPr>
      </w:pPr>
      <w:r>
        <w:rPr>
          <w:rFonts w:ascii="黑体" w:hAnsi="黑体" w:eastAsia="黑体" w:cs="Times New Roman"/>
          <w:b/>
          <w:bCs/>
          <w:kern w:val="0"/>
          <w:szCs w:val="21"/>
        </w:rPr>
        <w:t>【主要成分】</w:t>
      </w:r>
      <w:r>
        <w:rPr>
          <w:rFonts w:hint="eastAsia" w:ascii="Times New Roman" w:hAnsi="Times New Roman" w:eastAsia="宋体" w:cs="Times New Roman"/>
          <w:bCs/>
          <w:szCs w:val="21"/>
        </w:rPr>
        <w:t>马来酸噻吗洛尔</w:t>
      </w:r>
    </w:p>
    <w:p>
      <w:pPr>
        <w:widowControl/>
        <w:ind w:right="150"/>
        <w:rPr>
          <w:rFonts w:ascii="宋体" w:hAnsi="宋体" w:eastAsia="宋体" w:cs="宋体"/>
          <w:sz w:val="28"/>
          <w:szCs w:val="28"/>
        </w:rPr>
      </w:pPr>
      <w:r>
        <w:rPr>
          <w:rFonts w:ascii="黑体" w:hAnsi="黑体" w:eastAsia="黑体" w:cs="Times New Roman"/>
          <w:b/>
          <w:bCs/>
          <w:kern w:val="0"/>
          <w:szCs w:val="21"/>
        </w:rPr>
        <w:t>【性状】</w:t>
      </w:r>
      <w:r>
        <w:rPr>
          <w:rFonts w:hint="eastAsia" w:ascii="Times New Roman" w:hAnsi="Times New Roman" w:eastAsia="宋体" w:cs="Times New Roman"/>
          <w:bCs/>
          <w:szCs w:val="21"/>
        </w:rPr>
        <w:t>本品为无色的澄明液体。</w:t>
      </w:r>
    </w:p>
    <w:p>
      <w:pPr>
        <w:widowControl/>
        <w:ind w:right="150"/>
        <w:rPr>
          <w:rFonts w:ascii="黑体" w:hAnsi="黑体" w:eastAsia="黑体" w:cs="Times New Roman"/>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bCs/>
          <w:szCs w:val="21"/>
        </w:rPr>
        <w:t>马来酸噻吗洛尔是一种非选择性β-肾上腺能受体阻滞剂，没有明显的内源性拟交感活性和局麻作用，对心肌无直接抑制作用。本品为马来酸噻吗洛尔滴眼剂，对高眼压患病动物和正常动物均有降低眼内压作用。其降低眼内压的确切机理尚不清楚，眼压描记和房水荧光光度研究提示本品的降眼压作用与减少房水生成有关。非临床毒理研究：致癌性：动物实验显示长期大量口服马来酸噻吗洛尔可使雄性大鼠肾上腺嗜铬细胞瘤，雌性小鼠良性及恶性肺部肿瘤，良性子宫息肉及乳腺癌的发生率明显增高。生殖毒性：动物实验显示大剂量口服马来酸噻吗洛尔，对雄、雌性小鼠的生殖功能均无影响。</w:t>
      </w:r>
    </w:p>
    <w:p>
      <w:pPr>
        <w:widowControl/>
        <w:ind w:right="150" w:firstLine="420" w:firstLineChars="200"/>
        <w:rPr>
          <w:rFonts w:ascii="Times New Roman" w:hAnsi="Times New Roman" w:eastAsia="宋体" w:cs="Times New Roman"/>
          <w:bCs/>
          <w:szCs w:val="21"/>
        </w:rPr>
      </w:pPr>
      <w:r>
        <w:rPr>
          <w:rFonts w:hint="eastAsia" w:ascii="黑体" w:hAnsi="黑体" w:eastAsia="黑体" w:cs="Times New Roman"/>
          <w:kern w:val="0"/>
          <w:szCs w:val="21"/>
        </w:rPr>
        <w:t>药物相互作用</w:t>
      </w:r>
      <w:r>
        <w:rPr>
          <w:rFonts w:hint="eastAsia" w:ascii="Times New Roman" w:hAnsi="Times New Roman" w:eastAsia="宋体" w:cs="Times New Roman"/>
          <w:bCs/>
          <w:szCs w:val="21"/>
        </w:rPr>
        <w:t>1.与肾上腺素合用可引起瞳孔扩大。</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2.不主张两种局部</w:t>
      </w:r>
      <w:r>
        <w:rPr>
          <w:rFonts w:ascii="Times New Roman" w:hAnsi="Times New Roman" w:eastAsia="宋体" w:cs="Times New Roman"/>
          <w:bCs/>
          <w:szCs w:val="21"/>
        </w:rPr>
        <w:t>β</w:t>
      </w:r>
      <w:r>
        <w:rPr>
          <w:rFonts w:hint="eastAsia" w:ascii="Times New Roman" w:hAnsi="Times New Roman" w:eastAsia="宋体" w:cs="Times New Roman"/>
          <w:bCs/>
          <w:szCs w:val="21"/>
        </w:rPr>
        <w:t>受体阻断剂同时应用。</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3.本品与钙通道拮抗剂合用应慎重，因可引起房室传导阻滞，左心室衰竭及低血压。对心功能受损的患者，应避免两种药合并使用。</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4.正在服用儿茶酚胺耗竭药（如利血平）者，使用本品时应严密观察，因可引起低血压和明显的心动过缓。</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5.本品与洋地黄类和钙通道拮抗剂合用可进一步延长房室传导时间。</w:t>
      </w:r>
    </w:p>
    <w:p>
      <w:pPr>
        <w:widowControl/>
        <w:ind w:right="150" w:firstLine="420" w:firstLineChars="200"/>
        <w:rPr>
          <w:rFonts w:ascii="黑体" w:hAnsi="黑体" w:eastAsia="黑体" w:cs="Times New Roman"/>
          <w:kern w:val="0"/>
          <w:szCs w:val="21"/>
        </w:rPr>
      </w:pPr>
      <w:r>
        <w:rPr>
          <w:rFonts w:hint="eastAsia" w:ascii="Times New Roman" w:hAnsi="Times New Roman" w:eastAsia="宋体" w:cs="Times New Roman"/>
          <w:bCs/>
          <w:szCs w:val="21"/>
        </w:rPr>
        <w:t>6.本品与奎宁丁合用能引起心率减慢等全身</w:t>
      </w:r>
      <w:r>
        <w:rPr>
          <w:rFonts w:ascii="Times New Roman" w:hAnsi="Times New Roman" w:eastAsia="宋体" w:cs="Times New Roman"/>
          <w:bCs/>
          <w:szCs w:val="21"/>
        </w:rPr>
        <w:t>β</w:t>
      </w:r>
      <w:r>
        <w:rPr>
          <w:rFonts w:hint="eastAsia" w:ascii="Times New Roman" w:hAnsi="Times New Roman" w:eastAsia="宋体" w:cs="Times New Roman"/>
          <w:bCs/>
          <w:szCs w:val="21"/>
        </w:rPr>
        <w:t>受体阻断的副作用。可能的原因是奎宁丁可抑制P450酶和CYPZD6对噻吗洛尔的代谢作用。</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【适应证】</w:t>
      </w:r>
      <w:r>
        <w:rPr>
          <w:rFonts w:hint="eastAsia" w:ascii="Times New Roman" w:hAnsi="Times New Roman" w:eastAsia="宋体" w:cs="Times New Roman"/>
          <w:bCs/>
          <w:szCs w:val="21"/>
        </w:rPr>
        <w:t>对原发性开角型青光眼具有良好的降低眼内压疗效。对于某些继发性青光眼，高眼压症，部分原发性闭角型青光眼以及其他药物及手术无效的青光眼，加用本品滴眼可进一步增强降眼压效果。</w:t>
      </w:r>
    </w:p>
    <w:p>
      <w:pPr>
        <w:widowControl/>
        <w:ind w:right="150"/>
        <w:rPr>
          <w:rFonts w:ascii="Times New Roman" w:hAnsi="Times New Roman" w:eastAsia="宋体" w:cs="Times New Roman"/>
          <w:bCs/>
          <w:szCs w:val="21"/>
        </w:rPr>
      </w:pPr>
      <w:r>
        <w:rPr>
          <w:rFonts w:ascii="黑体" w:hAnsi="黑体" w:eastAsia="黑体" w:cs="Times New Roman"/>
          <w:b/>
          <w:bCs/>
          <w:kern w:val="0"/>
          <w:szCs w:val="21"/>
        </w:rPr>
        <w:t>【用法</w:t>
      </w:r>
      <w:r>
        <w:rPr>
          <w:rFonts w:hint="eastAsia" w:ascii="黑体" w:hAnsi="黑体" w:eastAsia="黑体" w:cs="Times New Roman"/>
          <w:b/>
          <w:bCs/>
          <w:kern w:val="0"/>
          <w:szCs w:val="21"/>
        </w:rPr>
        <w:t>与</w:t>
      </w:r>
      <w:r>
        <w:rPr>
          <w:rFonts w:ascii="黑体" w:hAnsi="黑体" w:eastAsia="黑体" w:cs="Times New Roman"/>
          <w:b/>
          <w:bCs/>
          <w:kern w:val="0"/>
          <w:szCs w:val="21"/>
        </w:rPr>
        <w:t>用量】</w:t>
      </w:r>
      <w:r>
        <w:rPr>
          <w:rFonts w:hint="eastAsia" w:ascii="Times New Roman" w:hAnsi="Times New Roman" w:eastAsia="宋体" w:cs="Times New Roman"/>
          <w:bCs/>
          <w:szCs w:val="21"/>
        </w:rPr>
        <w:t>滴眼，一次1滴，犬每日2-3次，猫每日2次，如眼压已控制，可改为一日1次。如原用其他药物，在改用本品治疗时，原药物不易突然停用，应自滴用本品的第二天起逐渐停用。</w:t>
      </w:r>
    </w:p>
    <w:p>
      <w:pPr>
        <w:widowControl/>
        <w:ind w:right="150"/>
        <w:rPr>
          <w:rFonts w:ascii="Times New Roman" w:hAnsi="Times New Roman" w:eastAsia="宋体" w:cs="Times New Roman"/>
          <w:bCs/>
          <w:szCs w:val="21"/>
        </w:rPr>
      </w:pPr>
      <w:r>
        <w:rPr>
          <w:rFonts w:ascii="黑体" w:hAnsi="黑体" w:eastAsia="黑体" w:cs="Times New Roman"/>
          <w:b/>
          <w:bCs/>
          <w:kern w:val="0"/>
          <w:szCs w:val="21"/>
        </w:rPr>
        <w:t>【不良反应】</w:t>
      </w:r>
      <w:r>
        <w:rPr>
          <w:rFonts w:hint="eastAsia" w:ascii="Times New Roman" w:hAnsi="Times New Roman" w:eastAsia="宋体" w:cs="Times New Roman"/>
          <w:bCs/>
          <w:szCs w:val="21"/>
        </w:rPr>
        <w:t>眼部不良反应包括瞳孔缩小、结膜充血和局部刺激；局部应用吸收后可能发生全身吸收，导致心动过缓和血压下降。</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【禁忌】</w:t>
      </w:r>
      <w:r>
        <w:rPr>
          <w:rFonts w:hint="eastAsia" w:ascii="Times New Roman" w:hAnsi="Times New Roman" w:eastAsia="宋体" w:cs="Times New Roman"/>
          <w:bCs/>
          <w:szCs w:val="21"/>
        </w:rPr>
        <w:t>1.支气管哮喘者或有支气管哮喘史者，严重慢性阻塞性肺部疾病。</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2.窦性心动过缓，Ⅱ或Ⅲ度房室传导阻滞，明显心衰，心源性休克。</w:t>
      </w:r>
    </w:p>
    <w:p>
      <w:pPr>
        <w:widowControl/>
        <w:ind w:right="150" w:firstLine="420" w:firstLineChars="200"/>
        <w:rPr>
          <w:rFonts w:ascii="宋体" w:hAnsi="宋体" w:eastAsia="宋体" w:cs="宋体"/>
          <w:sz w:val="28"/>
          <w:szCs w:val="28"/>
        </w:rPr>
      </w:pPr>
      <w:r>
        <w:rPr>
          <w:rFonts w:hint="eastAsia" w:ascii="Times New Roman" w:hAnsi="Times New Roman" w:eastAsia="宋体" w:cs="Times New Roman"/>
          <w:bCs/>
          <w:szCs w:val="21"/>
        </w:rPr>
        <w:t>3.对本品过敏者。</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【注意事项】</w:t>
      </w:r>
      <w:r>
        <w:rPr>
          <w:rFonts w:hint="eastAsia" w:ascii="Times New Roman" w:hAnsi="Times New Roman" w:eastAsia="宋体" w:cs="Times New Roman"/>
          <w:bCs/>
          <w:szCs w:val="21"/>
        </w:rPr>
        <w:t>1.当出现呼吸急促、脉搏明显减慢、过敏等症状时，请立即停止使用本品。</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2.使用中若出现脑供血不足症状时应立即停药。 </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3.心功能损害者，使用本品时应避免服用钙离子拮抗剂。 </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4.对无心衰史的患者，如出现心衰症状应立即停药。</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5.正在服用儿茶酚胺耗竭药（如利血平）者，使用本品时应严密察。 </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6.冠状动脉疾患、糖尿病、甲状腺机能亢进和重症肌无力患者，用本品滴眼时需遵医嘱。 </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7.本品慎用于自发性低血糖患者及接受胰岛素或口服降糖药治疗的患者，因β受体阻滞剂可掩盖低血糖症状。</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8.本品不易单独用于治疗闭角型青光眼。</w:t>
      </w:r>
    </w:p>
    <w:p>
      <w:pPr>
        <w:widowControl/>
        <w:adjustRightInd w:val="0"/>
        <w:snapToGrid w:val="0"/>
        <w:spacing w:line="276" w:lineRule="auto"/>
        <w:ind w:right="150"/>
        <w:rPr>
          <w:rFonts w:ascii="宋体" w:hAnsi="宋体" w:eastAsia="宋体" w:cs="宋体"/>
          <w:sz w:val="28"/>
          <w:szCs w:val="28"/>
        </w:rPr>
      </w:pPr>
      <w:r>
        <w:rPr>
          <w:rFonts w:ascii="黑体" w:hAnsi="黑体" w:eastAsia="黑体" w:cs="Times New Roman"/>
          <w:b/>
          <w:bCs/>
          <w:kern w:val="0"/>
          <w:szCs w:val="21"/>
        </w:rPr>
        <w:t>【规格】</w:t>
      </w:r>
      <w:r>
        <w:rPr>
          <w:rFonts w:hint="eastAsia" w:ascii="Times New Roman" w:hAnsi="Times New Roman" w:eastAsia="宋体" w:cs="Times New Roman"/>
          <w:bCs/>
          <w:szCs w:val="21"/>
        </w:rPr>
        <w:t>按噻吗洛尔计，（1）5ml</w:t>
      </w:r>
      <w:r>
        <w:rPr>
          <w:rFonts w:hint="eastAsia" w:ascii="宋体" w:hAnsi="宋体" w:eastAsia="宋体" w:cs="宋体"/>
          <w:bCs/>
          <w:szCs w:val="21"/>
        </w:rPr>
        <w:t>﹕</w:t>
      </w:r>
      <w:r>
        <w:rPr>
          <w:rFonts w:hint="eastAsia" w:ascii="Times New Roman" w:hAnsi="Times New Roman" w:eastAsia="宋体" w:cs="Times New Roman"/>
          <w:bCs/>
          <w:szCs w:val="21"/>
        </w:rPr>
        <w:t>12.5mg （2）5ml</w:t>
      </w:r>
      <w:r>
        <w:rPr>
          <w:rFonts w:hint="eastAsia" w:ascii="宋体" w:hAnsi="宋体" w:eastAsia="宋体" w:cs="宋体"/>
          <w:bCs/>
          <w:szCs w:val="21"/>
        </w:rPr>
        <w:t>﹕</w:t>
      </w:r>
      <w:r>
        <w:rPr>
          <w:rFonts w:hint="eastAsia" w:ascii="Times New Roman" w:hAnsi="Times New Roman" w:eastAsia="宋体" w:cs="Times New Roman"/>
          <w:bCs/>
          <w:szCs w:val="21"/>
        </w:rPr>
        <w:t>25mg</w:t>
      </w:r>
    </w:p>
    <w:p>
      <w:pPr>
        <w:widowControl/>
        <w:adjustRightInd w:val="0"/>
        <w:snapToGrid w:val="0"/>
        <w:spacing w:line="276" w:lineRule="auto"/>
        <w:ind w:right="150"/>
        <w:rPr>
          <w:rFonts w:ascii="Times New Roman" w:hAnsi="Times New Roman" w:eastAsia="宋体" w:cs="Times New Roman"/>
          <w:bCs/>
          <w:sz w:val="24"/>
          <w:szCs w:val="21"/>
        </w:rPr>
      </w:pPr>
      <w:r>
        <w:rPr>
          <w:rFonts w:ascii="黑体" w:hAnsi="黑体" w:eastAsia="黑体" w:cs="Times New Roman"/>
          <w:b/>
          <w:bCs/>
          <w:kern w:val="0"/>
          <w:szCs w:val="21"/>
        </w:rPr>
        <w:t>【包装】</w:t>
      </w:r>
    </w:p>
    <w:p>
      <w:pPr>
        <w:widowControl/>
        <w:adjustRightInd w:val="0"/>
        <w:snapToGrid w:val="0"/>
        <w:spacing w:line="276" w:lineRule="auto"/>
        <w:ind w:right="150"/>
        <w:rPr>
          <w:rFonts w:ascii="宋体" w:hAnsi="宋体" w:eastAsia="宋体" w:cs="宋体"/>
          <w:sz w:val="28"/>
          <w:szCs w:val="28"/>
        </w:rPr>
      </w:pPr>
      <w:r>
        <w:rPr>
          <w:rFonts w:ascii="黑体" w:hAnsi="黑体" w:eastAsia="黑体" w:cs="Times New Roman"/>
          <w:b/>
          <w:bCs/>
          <w:kern w:val="0"/>
          <w:szCs w:val="21"/>
        </w:rPr>
        <w:t>【贮藏】</w:t>
      </w:r>
      <w:r>
        <w:rPr>
          <w:rFonts w:hint="eastAsia" w:ascii="Times New Roman" w:hAnsi="Times New Roman" w:eastAsia="宋体" w:cs="Times New Roman"/>
          <w:bCs/>
          <w:szCs w:val="21"/>
        </w:rPr>
        <w:t>室温下，避光贮存。</w:t>
      </w:r>
    </w:p>
    <w:p>
      <w:pPr>
        <w:adjustRightInd w:val="0"/>
        <w:snapToGrid w:val="0"/>
        <w:spacing w:line="276" w:lineRule="auto"/>
        <w:rPr>
          <w:rFonts w:ascii="Times New Roman" w:hAnsi="Times New Roman" w:eastAsia="宋体" w:cs="Times New Roman"/>
          <w:szCs w:val="21"/>
        </w:rPr>
      </w:pPr>
      <w:r>
        <w:rPr>
          <w:rFonts w:ascii="黑体" w:hAnsi="黑体" w:eastAsia="黑体" w:cs="Times New Roman"/>
          <w:b/>
          <w:bCs/>
          <w:kern w:val="0"/>
          <w:szCs w:val="21"/>
        </w:rPr>
        <w:t>【有效期】</w:t>
      </w:r>
      <w:r>
        <w:rPr>
          <w:rFonts w:hint="eastAsia" w:ascii="Times New Roman" w:hAnsi="Times New Roman" w:eastAsia="宋体" w:cs="Times New Roman"/>
          <w:bCs/>
          <w:szCs w:val="21"/>
        </w:rPr>
        <w:t>24月</w:t>
      </w:r>
    </w:p>
    <w:p>
      <w:pPr>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【批准文号】</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rPr>
          <w:rFonts w:ascii="黑体" w:hAnsi="黑体" w:eastAsia="黑体" w:cs="Times New Roman"/>
          <w:b/>
          <w:bCs/>
          <w:kern w:val="0"/>
          <w:szCs w:val="21"/>
        </w:rPr>
      </w:pPr>
    </w:p>
    <w:p>
      <w:pPr>
        <w:widowControl/>
        <w:shd w:val="clear" w:color="auto" w:fill="FFFFFF"/>
        <w:jc w:val="center"/>
        <w:outlineLvl w:val="0"/>
        <w:rPr>
          <w:rFonts w:ascii="黑体" w:hAnsi="黑体" w:eastAsia="黑体" w:cs="黑体"/>
          <w:b/>
          <w:bCs/>
          <w:kern w:val="44"/>
          <w:szCs w:val="21"/>
          <w:shd w:val="clear" w:color="auto" w:fill="FFFFFF"/>
        </w:rPr>
      </w:pPr>
      <w:r>
        <w:rPr>
          <w:rFonts w:ascii="黑体" w:hAnsi="黑体" w:eastAsia="黑体" w:cs="黑体"/>
          <w:b/>
          <w:bCs/>
          <w:kern w:val="44"/>
          <w:szCs w:val="21"/>
          <w:shd w:val="clear" w:color="auto" w:fill="FFFFFF"/>
        </w:rPr>
        <w:t>双氯芬酸钠滴眼液说明书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双氯芬酸钠滴眼液</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bookmarkStart w:id="1" w:name="OLE_LINK13"/>
      <w:r>
        <w:rPr>
          <w:rFonts w:hint="eastAsia" w:ascii="Times New Roman" w:hAnsi="Times New Roman" w:eastAsia="宋体" w:cs="Times New Roman"/>
          <w:bCs/>
          <w:kern w:val="0"/>
          <w:szCs w:val="21"/>
        </w:rPr>
        <w:t>Diclofenac Sodium</w:t>
      </w:r>
      <w:bookmarkEnd w:id="1"/>
      <w:r>
        <w:rPr>
          <w:rFonts w:hint="eastAsia" w:ascii="Times New Roman" w:hAnsi="Times New Roman" w:eastAsia="宋体" w:cs="Times New Roman"/>
          <w:bCs/>
          <w:kern w:val="0"/>
          <w:szCs w:val="21"/>
        </w:rPr>
        <w:t xml:space="preserve"> Eye Drops</w:t>
      </w:r>
    </w:p>
    <w:p>
      <w:pPr>
        <w:widowControl/>
        <w:shd w:val="clear" w:color="auto" w:fill="FFFFFF"/>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汉语拼音</w:t>
      </w:r>
      <w:r>
        <w:rPr>
          <w:rFonts w:ascii="Times New Roman" w:hAnsi="Times New Roman" w:eastAsia="宋体" w:cs="Times New Roman"/>
          <w:bCs/>
          <w:sz w:val="24"/>
          <w:szCs w:val="21"/>
        </w:rPr>
        <w:t>：</w:t>
      </w:r>
      <w:r>
        <w:rPr>
          <w:rFonts w:hint="eastAsia" w:ascii="Times New Roman" w:hAnsi="Times New Roman" w:eastAsia="宋体" w:cs="Times New Roman"/>
          <w:bCs/>
          <w:kern w:val="0"/>
          <w:szCs w:val="21"/>
        </w:rPr>
        <w:t>Shuangl</w:t>
      </w:r>
      <w:r>
        <w:rPr>
          <w:rFonts w:hint="eastAsia" w:ascii="微软雅黑" w:hAnsi="微软雅黑" w:eastAsia="微软雅黑" w:cs="微软雅黑"/>
          <w:bCs/>
          <w:kern w:val="0"/>
          <w:szCs w:val="21"/>
        </w:rPr>
        <w:t>ü</w:t>
      </w:r>
      <w:r>
        <w:rPr>
          <w:rFonts w:hint="eastAsia" w:ascii="Times New Roman" w:hAnsi="Times New Roman" w:eastAsia="宋体" w:cs="Times New Roman"/>
          <w:bCs/>
          <w:kern w:val="0"/>
          <w:szCs w:val="21"/>
        </w:rPr>
        <w:t>fensuanna Diyanye</w:t>
      </w:r>
    </w:p>
    <w:p>
      <w:pPr>
        <w:rPr>
          <w:rFonts w:ascii="Calibri" w:hAnsi="Calibri" w:eastAsia="宋体" w:cs="Times New Roman"/>
        </w:rPr>
      </w:pPr>
      <w:r>
        <w:rPr>
          <w:rFonts w:ascii="黑体" w:hAnsi="黑体" w:eastAsia="黑体" w:cs="Times New Roman"/>
          <w:b/>
          <w:bCs/>
          <w:kern w:val="0"/>
          <w:szCs w:val="21"/>
        </w:rPr>
        <w:t>【主要成分】</w:t>
      </w:r>
      <w:r>
        <w:rPr>
          <w:rFonts w:hint="eastAsia" w:ascii="Times New Roman" w:hAnsi="Times New Roman" w:eastAsia="宋体" w:cs="Times New Roman"/>
          <w:szCs w:val="21"/>
        </w:rPr>
        <w:t>双氯芬酸钠</w:t>
      </w:r>
    </w:p>
    <w:p>
      <w:pPr>
        <w:widowControl/>
        <w:shd w:val="clear" w:color="auto" w:fill="FFFFFF"/>
        <w:ind w:right="150"/>
        <w:rPr>
          <w:rFonts w:ascii="宋体" w:hAnsi="宋体" w:eastAsia="宋体" w:cs="宋体"/>
          <w:color w:val="666666"/>
          <w:sz w:val="28"/>
          <w:szCs w:val="28"/>
        </w:rPr>
      </w:pPr>
      <w:r>
        <w:rPr>
          <w:rFonts w:ascii="黑体" w:hAnsi="黑体" w:eastAsia="黑体" w:cs="Times New Roman"/>
          <w:b/>
          <w:bCs/>
          <w:kern w:val="0"/>
          <w:szCs w:val="21"/>
        </w:rPr>
        <w:t>【性状】</w:t>
      </w:r>
      <w:r>
        <w:rPr>
          <w:rFonts w:hint="eastAsia" w:ascii="Times New Roman" w:hAnsi="Times New Roman" w:eastAsia="宋体" w:cs="Times New Roman"/>
          <w:szCs w:val="21"/>
        </w:rPr>
        <w:t>本品为无色或微黄色澄明水溶液。</w:t>
      </w:r>
    </w:p>
    <w:p>
      <w:pPr>
        <w:widowControl/>
        <w:ind w:right="150"/>
        <w:rPr>
          <w:rFonts w:ascii="黑体" w:hAnsi="黑体" w:eastAsia="黑体" w:cs="Times New Roman"/>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szCs w:val="21"/>
        </w:rPr>
        <w:t>双氯芬酸钠是一种衍生于苯乙酸类的非甾体消炎镇痛药，其作用机理为抑制环氧化酶活性，从而阻断花生四烯酸向前列腺素的转化。同时，它也能促进花生四烯酸与甘油三脂结合，降低细胞内游离的花生四烯酸浓度，而间接抑制白三烯的合成。动物实验证实，前列腺素是引起眼内炎症的介质之一，能导致血-房水屏障崩溃、血管扩张、血管通透性增加、白细胞趋化、非胆碱能机制性瞳孔缩小等。双氯芬酸钠是非甾体消炎药中作用较强的一种，它对前列腺素合成的抑制作用强于阿司匹林和消炎痛等。双氯芬酸钠滴眼液对机械、化学、生物等刺激引起的血-房水屏障崩溃有较强的抑制作用。临床研究显示，0.1%双氯芬酸钠治疗白内障术后炎症，可降低前房的闪辉和细胞数。</w:t>
      </w:r>
    </w:p>
    <w:p>
      <w:pPr>
        <w:widowControl/>
        <w:ind w:right="150"/>
        <w:rPr>
          <w:rFonts w:ascii="Times New Roman" w:hAnsi="Times New Roman" w:eastAsia="宋体" w:cs="Times New Roman"/>
          <w:szCs w:val="21"/>
        </w:rPr>
      </w:pPr>
      <w:r>
        <w:rPr>
          <w:rFonts w:hint="eastAsia" w:ascii="黑体" w:hAnsi="黑体" w:eastAsia="黑体" w:cs="Times New Roman"/>
          <w:b/>
          <w:bCs/>
          <w:kern w:val="0"/>
          <w:szCs w:val="21"/>
        </w:rPr>
        <w:t>【适应证】</w:t>
      </w:r>
      <w:r>
        <w:rPr>
          <w:rFonts w:hint="eastAsia" w:ascii="Times New Roman" w:hAnsi="Times New Roman" w:eastAsia="宋体" w:cs="Times New Roman"/>
          <w:szCs w:val="21"/>
        </w:rPr>
        <w:t>1.用于治疗葡萄膜炎、角膜炎、巩膜炎，抑制角膜新生血管的形成，治疗眼内手术后或各种眼部损伤的炎症反应，抑制白内障手术中缩瞳反应；</w:t>
      </w:r>
    </w:p>
    <w:p>
      <w:pPr>
        <w:widowControl/>
        <w:ind w:right="150" w:firstLine="420" w:firstLineChars="200"/>
        <w:rPr>
          <w:rFonts w:ascii="Times New Roman" w:hAnsi="Times New Roman" w:eastAsia="宋体" w:cs="Times New Roman"/>
          <w:szCs w:val="21"/>
        </w:rPr>
      </w:pPr>
      <w:r>
        <w:rPr>
          <w:rFonts w:hint="eastAsia" w:ascii="Times New Roman" w:hAnsi="Times New Roman" w:eastAsia="宋体" w:cs="Times New Roman"/>
          <w:szCs w:val="21"/>
        </w:rPr>
        <w:t>2.用于角膜手术术后止痛及消炎；春季结膜炎、季节过敏性结膜炎等过敏性眼病，预防和治疗白内障及人工晶体术后炎症，以及青光眼滤过术后促进滤过泡形成等。</w:t>
      </w:r>
    </w:p>
    <w:p>
      <w:pPr>
        <w:widowControl/>
        <w:shd w:val="clear" w:color="auto" w:fill="FFFFFF"/>
        <w:ind w:right="150"/>
        <w:rPr>
          <w:rFonts w:ascii="Times New Roman" w:hAnsi="Times New Roman" w:eastAsia="宋体" w:cs="Times New Roman"/>
          <w:szCs w:val="21"/>
        </w:rPr>
      </w:pPr>
      <w:r>
        <w:rPr>
          <w:rFonts w:ascii="黑体" w:hAnsi="黑体" w:eastAsia="黑体" w:cs="Times New Roman"/>
          <w:b/>
          <w:bCs/>
          <w:kern w:val="0"/>
          <w:szCs w:val="21"/>
        </w:rPr>
        <w:t>【用法用量】</w:t>
      </w:r>
      <w:r>
        <w:rPr>
          <w:rFonts w:hint="eastAsia" w:ascii="Times New Roman" w:hAnsi="Times New Roman" w:eastAsia="宋体" w:cs="Times New Roman"/>
          <w:szCs w:val="21"/>
        </w:rPr>
        <w:t>一日2～4次，一次1滴。</w:t>
      </w:r>
    </w:p>
    <w:p>
      <w:pPr>
        <w:widowControl/>
        <w:ind w:right="150"/>
        <w:rPr>
          <w:rFonts w:ascii="Times New Roman" w:hAnsi="Times New Roman" w:eastAsia="宋体" w:cs="Times New Roman"/>
          <w:szCs w:val="21"/>
        </w:rPr>
      </w:pPr>
      <w:r>
        <w:rPr>
          <w:rFonts w:ascii="黑体" w:hAnsi="黑体" w:eastAsia="黑体" w:cs="Times New Roman"/>
          <w:b/>
          <w:bCs/>
          <w:kern w:val="0"/>
          <w:szCs w:val="21"/>
        </w:rPr>
        <w:t>【不良反应】</w:t>
      </w:r>
      <w:r>
        <w:rPr>
          <w:rFonts w:hint="eastAsia" w:ascii="Times New Roman" w:hAnsi="Times New Roman" w:eastAsia="宋体" w:cs="Times New Roman"/>
          <w:szCs w:val="21"/>
        </w:rPr>
        <w:t>滴眼有短暂眼睑痉挛、刺痛、流泪等，极少数可有结膜充血。不足3%患病动物可出现乏力、困倦、恶心等全身反应。</w:t>
      </w:r>
    </w:p>
    <w:p>
      <w:pPr>
        <w:widowControl/>
        <w:shd w:val="clear" w:color="auto" w:fill="FFFFFF"/>
        <w:ind w:right="150"/>
        <w:rPr>
          <w:rFonts w:ascii="Times New Roman" w:hAnsi="Times New Roman" w:eastAsia="宋体" w:cs="Times New Roman"/>
          <w:szCs w:val="21"/>
        </w:rPr>
      </w:pPr>
      <w:r>
        <w:rPr>
          <w:rFonts w:hint="eastAsia" w:ascii="黑体" w:hAnsi="黑体" w:eastAsia="黑体" w:cs="Times New Roman"/>
          <w:b/>
          <w:bCs/>
          <w:kern w:val="0"/>
          <w:szCs w:val="21"/>
        </w:rPr>
        <w:t>【注意事项】</w:t>
      </w:r>
      <w:r>
        <w:rPr>
          <w:rFonts w:hint="eastAsia" w:ascii="Times New Roman" w:hAnsi="Times New Roman" w:eastAsia="宋体" w:cs="Times New Roman"/>
          <w:szCs w:val="21"/>
        </w:rPr>
        <w:t xml:space="preserve">1.本品仅限于滴眼用。 </w:t>
      </w:r>
    </w:p>
    <w:p>
      <w:pPr>
        <w:widowControl/>
        <w:shd w:val="clear" w:color="auto" w:fill="FFFFFF"/>
        <w:ind w:right="150" w:firstLine="420" w:firstLineChars="200"/>
        <w:rPr>
          <w:rFonts w:ascii="宋体" w:hAnsi="宋体" w:eastAsia="宋体" w:cs="宋体"/>
          <w:color w:val="666666"/>
          <w:sz w:val="28"/>
          <w:szCs w:val="28"/>
        </w:rPr>
      </w:pPr>
      <w:r>
        <w:rPr>
          <w:rFonts w:hint="eastAsia" w:ascii="Times New Roman" w:hAnsi="Times New Roman" w:eastAsia="宋体" w:cs="Times New Roman"/>
          <w:szCs w:val="21"/>
        </w:rPr>
        <w:t>2.本品可妨碍血小板凝聚，有增加眼组织术中或术后出血的倾向。</w:t>
      </w:r>
    </w:p>
    <w:p>
      <w:pPr>
        <w:widowControl/>
        <w:adjustRightInd w:val="0"/>
        <w:snapToGrid w:val="0"/>
        <w:spacing w:line="276" w:lineRule="auto"/>
        <w:ind w:right="150"/>
        <w:rPr>
          <w:rFonts w:ascii="黑体" w:hAnsi="黑体" w:eastAsia="黑体" w:cs="Times New Roman"/>
          <w:b/>
          <w:bCs/>
          <w:kern w:val="0"/>
          <w:szCs w:val="21"/>
        </w:rPr>
      </w:pPr>
      <w:r>
        <w:rPr>
          <w:rFonts w:ascii="黑体" w:hAnsi="黑体" w:eastAsia="黑体" w:cs="Times New Roman"/>
          <w:b/>
          <w:bCs/>
          <w:kern w:val="0"/>
          <w:szCs w:val="21"/>
        </w:rPr>
        <w:t>【规格】</w:t>
      </w:r>
      <w:r>
        <w:rPr>
          <w:rFonts w:hint="eastAsia" w:ascii="Times New Roman" w:hAnsi="Times New Roman" w:eastAsia="宋体" w:cs="Times New Roman"/>
          <w:szCs w:val="21"/>
        </w:rPr>
        <w:t>5ml</w:t>
      </w:r>
      <w:r>
        <w:rPr>
          <w:rFonts w:hint="eastAsia" w:ascii="宋体" w:hAnsi="宋体" w:eastAsia="宋体" w:cs="宋体"/>
          <w:szCs w:val="21"/>
        </w:rPr>
        <w:t>﹕</w:t>
      </w:r>
      <w:r>
        <w:rPr>
          <w:rFonts w:hint="eastAsia" w:ascii="Times New Roman" w:hAnsi="Times New Roman" w:eastAsia="宋体" w:cs="Times New Roman"/>
          <w:szCs w:val="21"/>
        </w:rPr>
        <w:t>5mg</w:t>
      </w:r>
    </w:p>
    <w:p>
      <w:pPr>
        <w:widowControl/>
        <w:adjustRightInd w:val="0"/>
        <w:snapToGrid w:val="0"/>
        <w:spacing w:line="276" w:lineRule="auto"/>
        <w:ind w:right="150"/>
        <w:rPr>
          <w:rFonts w:ascii="Times New Roman" w:hAnsi="Times New Roman" w:eastAsia="宋体" w:cs="Times New Roman"/>
          <w:bCs/>
          <w:sz w:val="24"/>
          <w:szCs w:val="21"/>
        </w:rPr>
      </w:pPr>
      <w:r>
        <w:rPr>
          <w:rFonts w:ascii="黑体" w:hAnsi="黑体" w:eastAsia="黑体" w:cs="Times New Roman"/>
          <w:b/>
          <w:bCs/>
          <w:kern w:val="0"/>
          <w:szCs w:val="21"/>
        </w:rPr>
        <w:t>【包装】</w:t>
      </w:r>
    </w:p>
    <w:p>
      <w:pPr>
        <w:widowControl/>
        <w:adjustRightInd w:val="0"/>
        <w:snapToGrid w:val="0"/>
        <w:spacing w:line="276" w:lineRule="auto"/>
        <w:ind w:right="150"/>
        <w:rPr>
          <w:rFonts w:ascii="Times New Roman" w:hAnsi="Times New Roman" w:eastAsia="宋体" w:cs="Times New Roman"/>
          <w:sz w:val="24"/>
          <w:szCs w:val="21"/>
        </w:rPr>
      </w:pPr>
      <w:r>
        <w:rPr>
          <w:rFonts w:ascii="黑体" w:hAnsi="黑体" w:eastAsia="黑体" w:cs="Times New Roman"/>
          <w:b/>
          <w:bCs/>
          <w:kern w:val="0"/>
          <w:szCs w:val="21"/>
        </w:rPr>
        <w:t>【贮藏】</w:t>
      </w:r>
      <w:r>
        <w:rPr>
          <w:rFonts w:hint="eastAsia" w:ascii="Times New Roman" w:hAnsi="Times New Roman" w:eastAsia="宋体" w:cs="Times New Roman"/>
          <w:szCs w:val="21"/>
        </w:rPr>
        <w:t>置凉暗处密闭保存。</w:t>
      </w:r>
    </w:p>
    <w:p>
      <w:pPr>
        <w:adjustRightInd w:val="0"/>
        <w:snapToGrid w:val="0"/>
        <w:spacing w:line="276" w:lineRule="auto"/>
        <w:rPr>
          <w:rFonts w:ascii="Times New Roman" w:hAnsi="Times New Roman" w:eastAsia="宋体" w:cs="Times New Roman"/>
          <w:szCs w:val="21"/>
        </w:rPr>
      </w:pPr>
      <w:r>
        <w:rPr>
          <w:rFonts w:ascii="黑体" w:hAnsi="黑体" w:eastAsia="黑体" w:cs="Times New Roman"/>
          <w:b/>
          <w:bCs/>
          <w:kern w:val="0"/>
          <w:szCs w:val="21"/>
        </w:rPr>
        <w:t>【有效期】</w:t>
      </w:r>
      <w:r>
        <w:rPr>
          <w:rFonts w:hint="eastAsia" w:ascii="Times New Roman" w:hAnsi="Times New Roman" w:eastAsia="宋体" w:cs="Times New Roman"/>
          <w:szCs w:val="21"/>
        </w:rPr>
        <w:t>24个月</w:t>
      </w:r>
    </w:p>
    <w:p>
      <w:pPr>
        <w:adjustRightInd w:val="0"/>
        <w:snapToGrid w:val="0"/>
        <w:spacing w:line="276" w:lineRule="auto"/>
        <w:ind w:right="-946"/>
        <w:rPr>
          <w:rFonts w:ascii="黑体" w:hAnsi="黑体" w:eastAsia="黑体" w:cs="Times New Roman"/>
          <w:kern w:val="0"/>
          <w:szCs w:val="21"/>
        </w:rPr>
      </w:pPr>
      <w:r>
        <w:rPr>
          <w:rFonts w:ascii="黑体" w:hAnsi="黑体" w:eastAsia="黑体" w:cs="Times New Roman"/>
          <w:b/>
          <w:bCs/>
          <w:kern w:val="0"/>
          <w:szCs w:val="21"/>
        </w:rPr>
        <w:t>【批准文号】</w:t>
      </w:r>
      <w:r>
        <w:rPr>
          <w:rFonts w:ascii="黑体" w:hAnsi="黑体" w:eastAsia="黑体" w:cs="Times New Roman"/>
          <w:kern w:val="0"/>
          <w:szCs w:val="21"/>
        </w:rPr>
        <w:t xml:space="preserve"> </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r>
        <w:rPr>
          <w:rFonts w:hint="eastAsia" w:ascii="宋体" w:hAnsi="宋体" w:eastAsia="宋体" w:cs="Times New Roman"/>
          <w:b/>
          <w:bCs/>
          <w:color w:val="000000" w:themeColor="text1"/>
          <w:szCs w:val="22"/>
          <w14:textFill>
            <w14:solidFill>
              <w14:schemeClr w14:val="tx1"/>
            </w14:solidFill>
          </w14:textFill>
        </w:rPr>
        <w:t>左氧氟沙星滴眼液说明书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【兽药名称】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通用名称：左氧氟沙星滴眼液</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商品名称：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英文名称：</w:t>
      </w:r>
      <w:r>
        <w:rPr>
          <w:rFonts w:hint="eastAsia" w:ascii="Times New Roman" w:hAnsi="Times New Roman" w:eastAsia="宋体" w:cs="Times New Roman"/>
          <w:color w:val="000000" w:themeColor="text1"/>
          <w:szCs w:val="22"/>
          <w14:textFill>
            <w14:solidFill>
              <w14:schemeClr w14:val="tx1"/>
            </w14:solidFill>
          </w14:textFill>
        </w:rPr>
        <w:t>Levofloxacin Eye Drops</w:t>
      </w:r>
    </w:p>
    <w:p>
      <w:pPr>
        <w:adjustRightInd w:val="0"/>
        <w:snapToGrid w:val="0"/>
        <w:spacing w:line="276" w:lineRule="auto"/>
        <w:ind w:firstLine="420" w:firstLineChars="200"/>
        <w:rPr>
          <w:rFonts w:ascii="Times New Roman" w:hAnsi="Times New Roman"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汉语拼音：</w:t>
      </w:r>
      <w:r>
        <w:rPr>
          <w:rFonts w:ascii="Times New Roman" w:hAnsi="Times New Roman" w:eastAsia="宋体" w:cs="Times New Roman"/>
          <w:color w:val="000000" w:themeColor="text1"/>
          <w:szCs w:val="22"/>
          <w14:textFill>
            <w14:solidFill>
              <w14:schemeClr w14:val="tx1"/>
            </w14:solidFill>
          </w14:textFill>
        </w:rPr>
        <w:t>Zuoyangfushaxing Diyanye</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【主要成分】</w:t>
      </w:r>
      <w:r>
        <w:rPr>
          <w:rFonts w:hint="eastAsia" w:ascii="黑体" w:hAnsi="黑体" w:eastAsia="黑体" w:cs="Times New Roman"/>
          <w:szCs w:val="22"/>
        </w:rPr>
        <w:t xml:space="preserve"> </w:t>
      </w:r>
      <w:r>
        <w:rPr>
          <w:rFonts w:hint="eastAsia" w:ascii="宋体" w:hAnsi="宋体" w:eastAsia="宋体" w:cs="Times New Roman"/>
          <w:szCs w:val="22"/>
        </w:rPr>
        <w:t>左氧氟沙星</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【性状】</w:t>
      </w:r>
      <w:r>
        <w:rPr>
          <w:rFonts w:ascii="宋体" w:hAnsi="宋体" w:eastAsia="宋体" w:cs="Times New Roman"/>
          <w:szCs w:val="22"/>
        </w:rPr>
        <w:t xml:space="preserve"> </w:t>
      </w:r>
      <w:r>
        <w:rPr>
          <w:rFonts w:hint="eastAsia" w:ascii="宋体" w:hAnsi="宋体" w:eastAsia="宋体" w:cs="Times New Roman"/>
          <w:szCs w:val="22"/>
        </w:rPr>
        <w:t>本品为淡黄绿色的澄明液体</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【药理作用】</w:t>
      </w:r>
      <w:r>
        <w:rPr>
          <w:rFonts w:hint="eastAsia" w:ascii="宋体" w:hAnsi="宋体" w:eastAsia="宋体" w:cs="Times New Roman"/>
          <w:szCs w:val="22"/>
        </w:rPr>
        <w:t xml:space="preserve"> </w:t>
      </w:r>
      <w:r>
        <w:rPr>
          <w:rFonts w:hint="eastAsia" w:ascii="Times New Roman" w:hAnsi="Times New Roman" w:eastAsia="宋体" w:cs="Times New Roman"/>
          <w:szCs w:val="22"/>
        </w:rPr>
        <w:t>左氧氟沙星是消旋体氧氟沙星的光学活性部分，具有约</w:t>
      </w:r>
      <w:r>
        <w:rPr>
          <w:rFonts w:ascii="Times New Roman" w:hAnsi="Times New Roman" w:eastAsia="宋体" w:cs="Times New Roman"/>
          <w:szCs w:val="22"/>
        </w:rPr>
        <w:t>2倍于氧氟沙星的抗菌活性。左氧氟沙星的主要作用机制为通过抑制细菌DNA旋转酶（拓补异构酶II）及拓补异构酶IV的活性，从而阻碍细菌DNA的合成。</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左氧氟沙星的抗菌谱较为广泛。左氧氟沙星的体外试验结果显示对葡萄球菌属、包括肺炎球菌的链球菌属、细球菌属、肠球菌属、棒状杆菌属等革兰阳性菌，以及包括绿脓杆菌的假单胞菌属、流感嗜血杆菌属、莫拉氏菌属、沙雷氏菌属、克雷白氏菌属、变形杆菌属、不动杆菌属、肠杆菌属等革兰阴性菌等具有较强的抗菌作用。</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【药物相互作用】</w:t>
      </w:r>
      <w:r>
        <w:rPr>
          <w:rFonts w:hint="eastAsia" w:ascii="宋体" w:hAnsi="宋体" w:eastAsia="宋体" w:cs="Times New Roman"/>
          <w:szCs w:val="22"/>
        </w:rPr>
        <w:t xml:space="preserve"> 尚不明确</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【作用与用途】</w:t>
      </w:r>
      <w:r>
        <w:rPr>
          <w:rFonts w:hint="eastAsia" w:ascii="黑体" w:hAnsi="黑体" w:eastAsia="黑体" w:cs="Times New Roman"/>
          <w:szCs w:val="22"/>
        </w:rPr>
        <w:t xml:space="preserve"> </w:t>
      </w:r>
      <w:r>
        <w:rPr>
          <w:rFonts w:hint="eastAsia" w:ascii="宋体" w:hAnsi="宋体" w:eastAsia="宋体" w:cs="Times New Roman"/>
          <w:szCs w:val="22"/>
        </w:rPr>
        <w:t>喹诺酮类抗菌药。用于治疗细菌性结膜。</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【用法与用量】</w:t>
      </w:r>
      <w:r>
        <w:rPr>
          <w:rFonts w:ascii="黑体" w:hAnsi="黑体" w:eastAsia="黑体" w:cs="Times New Roman"/>
          <w:b/>
          <w:bCs/>
          <w:kern w:val="0"/>
          <w:szCs w:val="21"/>
        </w:rPr>
        <w:t xml:space="preserve"> </w:t>
      </w:r>
      <w:r>
        <w:rPr>
          <w:rFonts w:hint="eastAsia" w:ascii="宋体" w:hAnsi="宋体" w:eastAsia="宋体" w:cs="Times New Roman"/>
          <w:szCs w:val="22"/>
        </w:rPr>
        <w:t>眼部外用。</w:t>
      </w:r>
      <w:r>
        <w:rPr>
          <w:rFonts w:ascii="Times New Roman" w:hAnsi="Times New Roman" w:eastAsia="宋体" w:cs="Times New Roman"/>
          <w:szCs w:val="22"/>
        </w:rPr>
        <w:t>每2</w:t>
      </w:r>
      <w:r>
        <w:rPr>
          <w:rFonts w:hint="eastAsia" w:ascii="宋体" w:hAnsi="宋体" w:eastAsia="宋体" w:cs="Times New Roman"/>
          <w:szCs w:val="22"/>
        </w:rPr>
        <w:t>～</w:t>
      </w:r>
      <w:r>
        <w:rPr>
          <w:rFonts w:ascii="Times New Roman" w:hAnsi="Times New Roman" w:eastAsia="宋体" w:cs="Times New Roman"/>
          <w:szCs w:val="22"/>
        </w:rPr>
        <w:t>6</w:t>
      </w:r>
      <w:r>
        <w:rPr>
          <w:rFonts w:hint="eastAsia" w:ascii="Times New Roman" w:hAnsi="Times New Roman" w:eastAsia="宋体" w:cs="Times New Roman"/>
          <w:szCs w:val="22"/>
        </w:rPr>
        <w:t>小时1</w:t>
      </w:r>
      <w:r>
        <w:rPr>
          <w:rFonts w:ascii="Times New Roman" w:hAnsi="Times New Roman" w:eastAsia="宋体" w:cs="Times New Roman"/>
          <w:szCs w:val="22"/>
        </w:rPr>
        <w:t>次，</w:t>
      </w:r>
      <w:r>
        <w:rPr>
          <w:rFonts w:hint="eastAsia" w:ascii="Times New Roman" w:hAnsi="Times New Roman" w:eastAsia="宋体" w:cs="Times New Roman"/>
          <w:szCs w:val="22"/>
        </w:rPr>
        <w:t>每</w:t>
      </w:r>
      <w:r>
        <w:rPr>
          <w:rFonts w:ascii="Times New Roman" w:hAnsi="Times New Roman" w:eastAsia="宋体" w:cs="Times New Roman"/>
          <w:szCs w:val="22"/>
        </w:rPr>
        <w:t>次1</w:t>
      </w:r>
      <w:r>
        <w:rPr>
          <w:rFonts w:hint="eastAsia" w:ascii="宋体" w:hAnsi="宋体" w:eastAsia="宋体" w:cs="Times New Roman"/>
          <w:szCs w:val="22"/>
        </w:rPr>
        <w:t>～</w:t>
      </w:r>
      <w:r>
        <w:rPr>
          <w:rFonts w:ascii="Times New Roman" w:hAnsi="Times New Roman" w:eastAsia="宋体" w:cs="Times New Roman"/>
          <w:szCs w:val="22"/>
        </w:rPr>
        <w:t>2滴。</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【不良反应】</w:t>
      </w:r>
      <w:r>
        <w:rPr>
          <w:rFonts w:ascii="宋体" w:hAnsi="宋体" w:eastAsia="宋体" w:cs="Times New Roman"/>
          <w:szCs w:val="22"/>
        </w:rPr>
        <w:t xml:space="preserve"> </w:t>
      </w:r>
      <w:r>
        <w:rPr>
          <w:rFonts w:hint="eastAsia" w:ascii="宋体" w:hAnsi="宋体" w:eastAsia="宋体" w:cs="Times New Roman"/>
          <w:szCs w:val="22"/>
        </w:rPr>
        <w:t>按规定的用法用量使用尚未见不良反应。</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【注意事项】</w:t>
      </w:r>
      <w:r>
        <w:rPr>
          <w:rFonts w:hint="eastAsia" w:ascii="Times New Roman" w:hAnsi="Times New Roman" w:eastAsia="黑体" w:cs="Times New Roman"/>
          <w:szCs w:val="22"/>
        </w:rPr>
        <w:t xml:space="preserve"> </w:t>
      </w:r>
      <w:r>
        <w:rPr>
          <w:rFonts w:ascii="Times New Roman" w:hAnsi="Times New Roman" w:eastAsia="宋体" w:cs="Times New Roman"/>
          <w:szCs w:val="22"/>
        </w:rPr>
        <w:t>1.</w:t>
      </w:r>
      <w:r>
        <w:rPr>
          <w:rFonts w:hint="eastAsia" w:ascii="Times New Roman" w:hAnsi="Times New Roman" w:eastAsia="宋体" w:cs="Times New Roman"/>
          <w:szCs w:val="22"/>
        </w:rPr>
        <w:t>对氟喹诺酮类药物过敏的动物不得使用。</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2</w:t>
      </w:r>
      <w:r>
        <w:rPr>
          <w:rFonts w:ascii="Times New Roman" w:hAnsi="Times New Roman" w:eastAsia="宋体" w:cs="Times New Roman"/>
          <w:szCs w:val="22"/>
        </w:rPr>
        <w:t>.</w:t>
      </w:r>
      <w:r>
        <w:rPr>
          <w:rFonts w:hint="eastAsia" w:ascii="Times New Roman" w:hAnsi="Times New Roman" w:eastAsia="宋体" w:cs="Times New Roman"/>
          <w:szCs w:val="22"/>
        </w:rPr>
        <w:t>长期使用本品可能导致非易感生物的过度生长。</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3.</w:t>
      </w:r>
      <w:r>
        <w:rPr>
          <w:rFonts w:hint="eastAsia" w:ascii="Times New Roman" w:hAnsi="Times New Roman" w:eastAsia="宋体" w:cs="Times New Roman"/>
          <w:szCs w:val="22"/>
        </w:rPr>
        <w:t>监测对治疗的反应。如果在</w:t>
      </w:r>
      <w:r>
        <w:rPr>
          <w:rFonts w:ascii="Times New Roman" w:hAnsi="Times New Roman" w:eastAsia="宋体" w:cs="Times New Roman"/>
          <w:szCs w:val="22"/>
        </w:rPr>
        <w:t>7</w:t>
      </w:r>
      <w:r>
        <w:rPr>
          <w:rFonts w:hint="eastAsia" w:ascii="宋体" w:hAnsi="宋体" w:eastAsia="宋体" w:cs="Times New Roman"/>
          <w:szCs w:val="22"/>
        </w:rPr>
        <w:t>～</w:t>
      </w:r>
      <w:r>
        <w:rPr>
          <w:rFonts w:ascii="Times New Roman" w:hAnsi="Times New Roman" w:eastAsia="宋体" w:cs="Times New Roman"/>
          <w:szCs w:val="22"/>
        </w:rPr>
        <w:t>10天内没有改善，感染可能是由对氧氟沙星不敏感的微生物引起的，应考虑替代疗法</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4.</w:t>
      </w:r>
      <w:r>
        <w:rPr>
          <w:rFonts w:hint="eastAsia" w:ascii="Times New Roman" w:hAnsi="Times New Roman" w:eastAsia="宋体" w:cs="Times New Roman"/>
          <w:szCs w:val="22"/>
        </w:rPr>
        <w:t>滴眼液仅供眼局部使用；不要进行结膜下注射或引入眼睛前房。</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【规格】</w:t>
      </w:r>
      <w:r>
        <w:rPr>
          <w:rFonts w:ascii="Times New Roman" w:hAnsi="Times New Roman" w:eastAsia="宋体" w:cs="Times New Roman"/>
          <w:szCs w:val="22"/>
        </w:rPr>
        <w:t xml:space="preserve"> 5ml</w:t>
      </w:r>
      <w:r>
        <w:rPr>
          <w:rFonts w:hint="eastAsia" w:ascii="宋体" w:hAnsi="宋体" w:eastAsia="宋体" w:cs="Times New Roman"/>
          <w:szCs w:val="22"/>
        </w:rPr>
        <w:t>︰</w:t>
      </w:r>
      <w:r>
        <w:rPr>
          <w:rFonts w:ascii="Times New Roman" w:hAnsi="Times New Roman" w:eastAsia="宋体" w:cs="Times New Roman"/>
          <w:szCs w:val="22"/>
        </w:rPr>
        <w:t>24.4mg</w:t>
      </w:r>
      <w:r>
        <w:rPr>
          <w:rFonts w:hint="eastAsia" w:ascii="Times New Roman" w:hAnsi="Times New Roman" w:eastAsia="宋体" w:cs="Times New Roman"/>
          <w:szCs w:val="22"/>
        </w:rPr>
        <w:t>（以C</w:t>
      </w:r>
      <w:r>
        <w:rPr>
          <w:rFonts w:ascii="Times New Roman" w:hAnsi="Times New Roman" w:eastAsia="宋体" w:cs="Times New Roman"/>
          <w:szCs w:val="22"/>
          <w:vertAlign w:val="subscript"/>
        </w:rPr>
        <w:t>18</w:t>
      </w:r>
      <w:r>
        <w:rPr>
          <w:rFonts w:ascii="Times New Roman" w:hAnsi="Times New Roman" w:eastAsia="宋体" w:cs="Times New Roman"/>
          <w:szCs w:val="22"/>
        </w:rPr>
        <w:t>H</w:t>
      </w:r>
      <w:r>
        <w:rPr>
          <w:rFonts w:ascii="Times New Roman" w:hAnsi="Times New Roman" w:eastAsia="宋体" w:cs="Times New Roman"/>
          <w:szCs w:val="22"/>
          <w:vertAlign w:val="subscript"/>
        </w:rPr>
        <w:t>20</w:t>
      </w:r>
      <w:r>
        <w:rPr>
          <w:rFonts w:ascii="Times New Roman" w:hAnsi="Times New Roman" w:eastAsia="宋体" w:cs="Times New Roman"/>
          <w:szCs w:val="22"/>
        </w:rPr>
        <w:t>FN</w:t>
      </w:r>
      <w:r>
        <w:rPr>
          <w:rFonts w:ascii="Times New Roman" w:hAnsi="Times New Roman" w:eastAsia="宋体" w:cs="Times New Roman"/>
          <w:szCs w:val="22"/>
          <w:vertAlign w:val="subscript"/>
        </w:rPr>
        <w:t>3</w:t>
      </w:r>
      <w:r>
        <w:rPr>
          <w:rFonts w:ascii="Times New Roman" w:hAnsi="Times New Roman" w:eastAsia="宋体" w:cs="Times New Roman"/>
          <w:szCs w:val="22"/>
        </w:rPr>
        <w:t>O</w:t>
      </w:r>
      <w:r>
        <w:rPr>
          <w:rFonts w:ascii="Times New Roman" w:hAnsi="Times New Roman" w:eastAsia="宋体" w:cs="Times New Roman"/>
          <w:szCs w:val="22"/>
          <w:vertAlign w:val="subscript"/>
        </w:rPr>
        <w:t>4</w:t>
      </w:r>
      <w:r>
        <w:rPr>
          <w:rFonts w:hint="eastAsia" w:ascii="Times New Roman" w:hAnsi="Times New Roman" w:eastAsia="宋体" w:cs="Times New Roman"/>
          <w:szCs w:val="22"/>
        </w:rPr>
        <w:t>计）</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【包装】</w:t>
      </w:r>
      <w:r>
        <w:rPr>
          <w:rFonts w:ascii="Times New Roman" w:hAnsi="Times New Roman" w:eastAsia="宋体" w:cs="Times New Roman"/>
          <w:szCs w:val="22"/>
        </w:rPr>
        <w:t> 5ml/</w:t>
      </w:r>
      <w:r>
        <w:rPr>
          <w:rFonts w:hint="eastAsia" w:ascii="Times New Roman" w:hAnsi="Times New Roman" w:eastAsia="宋体" w:cs="Times New Roman"/>
          <w:szCs w:val="22"/>
        </w:rPr>
        <w:t>支</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【贮藏】</w:t>
      </w:r>
      <w:r>
        <w:rPr>
          <w:rFonts w:ascii="Times New Roman" w:hAnsi="Times New Roman" w:eastAsia="宋体" w:cs="Times New Roman"/>
          <w:szCs w:val="22"/>
        </w:rPr>
        <w:t> </w:t>
      </w:r>
      <w:r>
        <w:rPr>
          <w:rFonts w:hint="eastAsia" w:ascii="Times New Roman" w:hAnsi="Times New Roman" w:eastAsia="宋体" w:cs="Times New Roman"/>
          <w:szCs w:val="22"/>
        </w:rPr>
        <w:t>密封，遮光，室温</w:t>
      </w:r>
      <w:r>
        <w:rPr>
          <w:rFonts w:ascii="Times New Roman" w:hAnsi="Times New Roman" w:eastAsia="宋体" w:cs="Times New Roman"/>
          <w:szCs w:val="22"/>
        </w:rPr>
        <w:t>保存。</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【有效期】</w:t>
      </w:r>
      <w:r>
        <w:rPr>
          <w:rFonts w:ascii="Times New Roman" w:hAnsi="Times New Roman" w:eastAsia="宋体" w:cs="Times New Roman"/>
          <w:szCs w:val="22"/>
        </w:rPr>
        <w:t> 24个月</w:t>
      </w:r>
    </w:p>
    <w:p>
      <w:pPr>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【批准文号】</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r>
        <w:rPr>
          <w:rFonts w:hint="eastAsia" w:ascii="黑体" w:hAnsi="黑体" w:eastAsia="黑体"/>
          <w:b/>
        </w:rPr>
        <w:t>布林佐胺滴眼液说明书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【兽药名称】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通用名称：布林佐胺滴眼液</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商品名称：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英文名称：</w:t>
      </w:r>
      <w:r>
        <w:rPr>
          <w:rFonts w:ascii="Times New Roman" w:hAnsi="Times New Roman" w:eastAsia="宋体" w:cs="Times New Roman"/>
          <w:color w:val="000000" w:themeColor="text1"/>
          <w:szCs w:val="22"/>
          <w14:textFill>
            <w14:solidFill>
              <w14:schemeClr w14:val="tx1"/>
            </w14:solidFill>
          </w14:textFill>
        </w:rPr>
        <w:t>Brinzolamide Eye Drops</w:t>
      </w:r>
    </w:p>
    <w:p>
      <w:pPr>
        <w:adjustRightInd w:val="0"/>
        <w:snapToGrid w:val="0"/>
        <w:spacing w:line="276" w:lineRule="auto"/>
        <w:ind w:firstLine="420" w:firstLineChars="200"/>
        <w:rPr>
          <w:rFonts w:ascii="Times New Roman" w:hAnsi="Times New Roman"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汉语拼音：</w:t>
      </w:r>
      <w:r>
        <w:rPr>
          <w:rFonts w:ascii="Times New Roman" w:hAnsi="Times New Roman" w:eastAsia="宋体" w:cs="Times New Roman"/>
          <w:color w:val="000000" w:themeColor="text1"/>
          <w:szCs w:val="22"/>
          <w14:textFill>
            <w14:solidFill>
              <w14:schemeClr w14:val="tx1"/>
            </w14:solidFill>
          </w14:textFill>
        </w:rPr>
        <w:t>B</w:t>
      </w:r>
      <w:r>
        <w:rPr>
          <w:rFonts w:hint="eastAsia" w:ascii="Times New Roman" w:hAnsi="Times New Roman" w:eastAsia="宋体" w:cs="Times New Roman"/>
          <w:color w:val="000000" w:themeColor="text1"/>
          <w:szCs w:val="22"/>
          <w14:textFill>
            <w14:solidFill>
              <w14:schemeClr w14:val="tx1"/>
            </w14:solidFill>
          </w14:textFill>
        </w:rPr>
        <w:t>u</w:t>
      </w:r>
      <w:r>
        <w:rPr>
          <w:rFonts w:ascii="Times New Roman" w:hAnsi="Times New Roman" w:eastAsia="宋体" w:cs="Times New Roman"/>
          <w:color w:val="000000" w:themeColor="text1"/>
          <w:szCs w:val="22"/>
          <w14:textFill>
            <w14:solidFill>
              <w14:schemeClr w14:val="tx1"/>
            </w14:solidFill>
          </w14:textFill>
        </w:rPr>
        <w:t>linzuoan Diyanye</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【主要成分】</w:t>
      </w:r>
      <w:r>
        <w:rPr>
          <w:rFonts w:hint="eastAsia" w:ascii="黑体" w:hAnsi="黑体" w:eastAsia="黑体" w:cs="Times New Roman"/>
          <w:szCs w:val="22"/>
        </w:rPr>
        <w:t xml:space="preserve"> </w:t>
      </w:r>
      <w:r>
        <w:rPr>
          <w:rFonts w:hint="eastAsia" w:ascii="宋体" w:hAnsi="宋体" w:eastAsia="宋体" w:cs="Times New Roman"/>
          <w:szCs w:val="22"/>
        </w:rPr>
        <w:t>布林佐胺</w:t>
      </w:r>
    </w:p>
    <w:p>
      <w:pPr>
        <w:adjustRightInd w:val="0"/>
        <w:snapToGrid w:val="0"/>
        <w:spacing w:line="276" w:lineRule="auto"/>
        <w:rPr>
          <w:rFonts w:ascii="宋体" w:hAnsi="宋体" w:eastAsia="宋体" w:cs="Times New Roman"/>
          <w:szCs w:val="22"/>
        </w:rPr>
      </w:pPr>
      <w:r>
        <w:rPr>
          <w:rFonts w:hint="eastAsia" w:ascii="黑体" w:hAnsi="黑体" w:eastAsia="黑体" w:cs="Times New Roman"/>
          <w:szCs w:val="22"/>
        </w:rPr>
        <w:t>【性状】</w:t>
      </w:r>
      <w:r>
        <w:rPr>
          <w:rFonts w:ascii="宋体" w:hAnsi="宋体" w:eastAsia="宋体" w:cs="Times New Roman"/>
          <w:szCs w:val="22"/>
        </w:rPr>
        <w:t xml:space="preserve"> </w:t>
      </w:r>
      <w:r>
        <w:rPr>
          <w:rFonts w:hint="eastAsia" w:ascii="宋体" w:hAnsi="宋体" w:eastAsia="宋体" w:cs="Times New Roman"/>
          <w:szCs w:val="22"/>
        </w:rPr>
        <w:t>本品为白色或类白色的均匀混悬液</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【药理作用】</w:t>
      </w:r>
      <w:r>
        <w:rPr>
          <w:rFonts w:hint="eastAsia" w:ascii="宋体" w:hAnsi="宋体" w:eastAsia="宋体" w:cs="Times New Roman"/>
          <w:szCs w:val="22"/>
        </w:rPr>
        <w:t xml:space="preserve"> 布林佐胺通过抑制眼部睫状突的碳酸酐酶可以减少房水的分泌，也可能是通过减少碳酸氢盐离子的生成从而减少了钠和水的转运，最终降低了眼压。</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【药物相互作用】</w:t>
      </w:r>
      <w:r>
        <w:rPr>
          <w:rFonts w:hint="eastAsia" w:ascii="黑体" w:hAnsi="黑体" w:eastAsia="黑体" w:cs="Times New Roman"/>
          <w:szCs w:val="22"/>
        </w:rPr>
        <w:t xml:space="preserve"> </w:t>
      </w:r>
      <w:r>
        <w:rPr>
          <w:rFonts w:ascii="Times New Roman" w:hAnsi="Times New Roman" w:eastAsia="宋体" w:cs="Times New Roman"/>
          <w:szCs w:val="22"/>
        </w:rPr>
        <w:t>没有对派立明与其它药物的相互作用进行专门研究。在临床研究中，派立明与前列腺素类似物以及噻吗洛尔滴眼液同时使用，没有发现有不良相互作用。没有评测在青光眼的联合治疗中，派立明与缩瞳剂、肾上腺素能激动剂的联合应用效果。派立明是一种碳酸酐酶抑制剂，虽然是眼部滴用但仍然可以被全身吸收。有报道口服碳酸酐酶抑制剂可导致酸碱平衡紊乱，因此在接受派立明治疗的患者中应该注意这种潜在的危险。与布林佐胺代谢相关的细胞色素P-450同工酶包括：CYP3A4（主要的）、CYP2A6、CYP2C8和CYP2C9。因此CYP3A4的抑制剂，例如酮康唑、伊曲康唑、克霉唑、利托那韦和醋竹桃霉素，通过CYP3A4来抑制布林佐胺的代谢。因此如果同时使用了CYP3A4抑制剂应该小心。然而因为布林佐胺主要通过肾脏排出体外，因此不容易造成药物在体内的蓄积。布林佐胺本身不是细胞色素P-450同工酶的抑制剂。</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【作用与用途】</w:t>
      </w:r>
      <w:r>
        <w:rPr>
          <w:rFonts w:ascii="Times New Roman" w:hAnsi="Times New Roman" w:eastAsia="黑体" w:cs="Times New Roman"/>
          <w:szCs w:val="22"/>
        </w:rPr>
        <w:t xml:space="preserve"> </w:t>
      </w:r>
      <w:r>
        <w:rPr>
          <w:rFonts w:hint="eastAsia" w:ascii="宋体" w:hAnsi="宋体" w:eastAsia="宋体" w:cs="Times New Roman"/>
          <w:szCs w:val="22"/>
        </w:rPr>
        <w:t>碳酸酐酶抑制剂。</w:t>
      </w:r>
      <w:r>
        <w:rPr>
          <w:rFonts w:ascii="Times New Roman" w:hAnsi="Times New Roman" w:eastAsia="宋体" w:cs="Times New Roman"/>
          <w:szCs w:val="22"/>
        </w:rPr>
        <w:t>用于降低高眼压症、开角型青光眼引起的眼压升高。可以作为对β阻滞剂无效，或者有使用禁忌的患病动物的治疗药物，或者作为β阻滞剂的协同治疗药物。</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【用法与用量】</w:t>
      </w:r>
      <w:r>
        <w:rPr>
          <w:rFonts w:ascii="黑体" w:hAnsi="黑体" w:eastAsia="黑体" w:cs="Times New Roman"/>
          <w:b/>
          <w:bCs/>
          <w:kern w:val="0"/>
          <w:szCs w:val="21"/>
        </w:rPr>
        <w:t xml:space="preserve"> </w:t>
      </w:r>
      <w:r>
        <w:rPr>
          <w:rFonts w:hint="eastAsia" w:ascii="宋体" w:hAnsi="宋体" w:eastAsia="宋体" w:cs="Times New Roman"/>
          <w:szCs w:val="22"/>
        </w:rPr>
        <w:t>眼部外用。犬：青光眼，每6～</w:t>
      </w:r>
      <w:r>
        <w:rPr>
          <w:rFonts w:ascii="宋体" w:hAnsi="宋体" w:eastAsia="宋体" w:cs="Times New Roman"/>
          <w:szCs w:val="22"/>
        </w:rPr>
        <w:t>8</w:t>
      </w:r>
      <w:r>
        <w:rPr>
          <w:rFonts w:hint="eastAsia" w:ascii="宋体" w:hAnsi="宋体" w:eastAsia="宋体" w:cs="Times New Roman"/>
          <w:szCs w:val="22"/>
        </w:rPr>
        <w:t>小时1次，每次1滴；猫：青光眼，每8小时1次，每次1滴；马：降低眼压，每1</w:t>
      </w:r>
      <w:r>
        <w:rPr>
          <w:rFonts w:ascii="宋体" w:hAnsi="宋体" w:eastAsia="宋体" w:cs="Times New Roman"/>
          <w:szCs w:val="22"/>
        </w:rPr>
        <w:t>2</w:t>
      </w:r>
      <w:r>
        <w:rPr>
          <w:rFonts w:hint="eastAsia" w:ascii="宋体" w:hAnsi="宋体" w:eastAsia="宋体" w:cs="Times New Roman"/>
          <w:szCs w:val="22"/>
        </w:rPr>
        <w:t>～</w:t>
      </w:r>
      <w:r>
        <w:rPr>
          <w:rFonts w:ascii="宋体" w:hAnsi="宋体" w:eastAsia="宋体" w:cs="Times New Roman"/>
          <w:szCs w:val="22"/>
        </w:rPr>
        <w:t>24</w:t>
      </w:r>
      <w:r>
        <w:rPr>
          <w:rFonts w:hint="eastAsia" w:ascii="宋体" w:hAnsi="宋体" w:eastAsia="宋体" w:cs="Times New Roman"/>
          <w:szCs w:val="22"/>
        </w:rPr>
        <w:t>小时1次，每次1滴</w:t>
      </w:r>
      <w:r>
        <w:rPr>
          <w:rFonts w:ascii="Times New Roman" w:hAnsi="Times New Roman" w:eastAsia="宋体" w:cs="Times New Roman"/>
          <w:szCs w:val="22"/>
        </w:rPr>
        <w:t>。</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【不良反应】</w:t>
      </w:r>
      <w:r>
        <w:rPr>
          <w:rFonts w:ascii="黑体" w:hAnsi="黑体" w:eastAsia="黑体" w:cs="Times New Roman"/>
          <w:b/>
          <w:bCs/>
          <w:kern w:val="0"/>
          <w:szCs w:val="21"/>
        </w:rPr>
        <w:t xml:space="preserve"> </w:t>
      </w:r>
      <w:r>
        <w:rPr>
          <w:rFonts w:ascii="Times New Roman" w:hAnsi="Times New Roman" w:eastAsia="宋体" w:cs="Times New Roman"/>
          <w:szCs w:val="22"/>
        </w:rPr>
        <w:t>1.</w:t>
      </w:r>
      <w:r>
        <w:rPr>
          <w:rFonts w:hint="eastAsia" w:ascii="Times New Roman" w:hAnsi="Times New Roman" w:eastAsia="宋体" w:cs="Times New Roman"/>
          <w:szCs w:val="22"/>
        </w:rPr>
        <w:t>可能引起犬的免疫介导的角膜炎。</w:t>
      </w:r>
    </w:p>
    <w:p>
      <w:pPr>
        <w:adjustRightInd w:val="0"/>
        <w:snapToGrid w:val="0"/>
        <w:spacing w:line="276" w:lineRule="auto"/>
        <w:rPr>
          <w:rFonts w:ascii="Times New Roman" w:hAnsi="Times New Roman" w:eastAsia="宋体" w:cs="Times New Roman"/>
          <w:color w:val="000000" w:themeColor="text1"/>
          <w:szCs w:val="22"/>
          <w14:textFill>
            <w14:solidFill>
              <w14:schemeClr w14:val="tx1"/>
            </w14:solidFill>
          </w14:textFill>
        </w:rPr>
      </w:pP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2.</w:t>
      </w:r>
      <w:r>
        <w:rPr>
          <w:rFonts w:hint="eastAsia" w:ascii="Times New Roman" w:hAnsi="Times New Roman" w:eastAsia="宋体" w:cs="Times New Roman"/>
          <w:szCs w:val="22"/>
        </w:rPr>
        <w:t>可能引起猫的短暂流涎、食欲不振、眼部刺激、代谢性酸中毒和低钾血症。</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【注意事项】</w:t>
      </w:r>
      <w:r>
        <w:rPr>
          <w:rFonts w:hint="eastAsia" w:ascii="黑体" w:hAnsi="黑体" w:eastAsia="黑体" w:cs="Times New Roman"/>
          <w:b/>
          <w:bCs/>
          <w:kern w:val="0"/>
          <w:szCs w:val="21"/>
        </w:rPr>
        <w:t xml:space="preserve"> </w:t>
      </w:r>
      <w:r>
        <w:rPr>
          <w:rFonts w:ascii="Times New Roman" w:hAnsi="Times New Roman" w:eastAsia="宋体" w:cs="Times New Roman"/>
          <w:szCs w:val="22"/>
        </w:rPr>
        <w:t>1.</w:t>
      </w:r>
      <w:r>
        <w:rPr>
          <w:rFonts w:hint="eastAsia" w:ascii="Times New Roman" w:hAnsi="Times New Roman" w:eastAsia="宋体" w:cs="Times New Roman"/>
          <w:szCs w:val="22"/>
        </w:rPr>
        <w:t>如果遗漏一次给药，继续按照计划进行下一次给药治疗。</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2</w:t>
      </w:r>
      <w:r>
        <w:rPr>
          <w:rFonts w:ascii="Times New Roman" w:hAnsi="Times New Roman" w:eastAsia="宋体" w:cs="Times New Roman"/>
          <w:szCs w:val="22"/>
        </w:rPr>
        <w:t>.</w:t>
      </w:r>
      <w:r>
        <w:rPr>
          <w:rFonts w:hint="eastAsia" w:ascii="Times New Roman" w:hAnsi="Times New Roman" w:eastAsia="宋体" w:cs="Times New Roman"/>
          <w:szCs w:val="22"/>
        </w:rPr>
        <w:t>本品是一种磺胺类碳酸酐酶抑制剂，虽然是眼部滴用，但仍能被全身吸收。有报道口服碳酸酐酶抑制剂会导致酸碱紊乱。没有对早产儿或者不到一周的胚胎进行研究。肾小管功能不成熟或者异常的动物有可能发生代谢性酸中毒，因此在使用布林佐胺前应该仔细的平衡获得的利益和风险。因此磺胺药的不良反应在眼部滴用时仍然可能出现。由于可被全身吸收，在接受本品的患病动物中，可能发生所有磺胺类共同的过敏反应。</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3.</w:t>
      </w:r>
      <w:r>
        <w:rPr>
          <w:rFonts w:hint="eastAsia" w:ascii="Times New Roman" w:hAnsi="Times New Roman" w:eastAsia="宋体" w:cs="Times New Roman"/>
          <w:szCs w:val="22"/>
        </w:rPr>
        <w:t>没有研究在肝功能不全患病动物的应用情况，因此不推荐使用本品。</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4</w:t>
      </w:r>
      <w:r>
        <w:rPr>
          <w:rFonts w:ascii="Times New Roman" w:hAnsi="Times New Roman" w:eastAsia="宋体" w:cs="Times New Roman"/>
          <w:szCs w:val="22"/>
        </w:rPr>
        <w:t>.</w:t>
      </w:r>
      <w:r>
        <w:rPr>
          <w:rFonts w:hint="eastAsia" w:ascii="Times New Roman" w:hAnsi="Times New Roman" w:eastAsia="宋体" w:cs="Times New Roman"/>
          <w:szCs w:val="22"/>
        </w:rPr>
        <w:t>没有研究在严重肾功能不全或是高氯血症性酸中毒患病动物中的应用情况，因此在这些患病动物中不能使用本品。对于口服碳酸酐酶抑制剂，已经报告了酸碱紊乱。由于可能有代谢性酸中毒的风险，在有肾功能损伤风险的患病动物中慎用。</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5</w:t>
      </w:r>
      <w:r>
        <w:rPr>
          <w:rFonts w:ascii="Times New Roman" w:hAnsi="Times New Roman" w:eastAsia="宋体" w:cs="Times New Roman"/>
          <w:szCs w:val="22"/>
        </w:rPr>
        <w:t>.</w:t>
      </w:r>
      <w:r>
        <w:rPr>
          <w:rFonts w:hint="eastAsia" w:ascii="Times New Roman" w:hAnsi="Times New Roman" w:eastAsia="宋体" w:cs="Times New Roman"/>
          <w:szCs w:val="22"/>
        </w:rPr>
        <w:t>没有研究在妊娠动物中使用情况，动物实验显示有生殖毒性，因此不建议在动物妊娠期间和有繁殖需求的动物中使用本品。</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6</w:t>
      </w:r>
      <w:r>
        <w:rPr>
          <w:rFonts w:ascii="Times New Roman" w:hAnsi="Times New Roman" w:eastAsia="宋体" w:cs="Times New Roman"/>
          <w:szCs w:val="22"/>
        </w:rPr>
        <w:t>.</w:t>
      </w:r>
      <w:r>
        <w:rPr>
          <w:rFonts w:hint="eastAsia" w:ascii="Times New Roman" w:hAnsi="Times New Roman" w:eastAsia="宋体" w:cs="Times New Roman"/>
          <w:szCs w:val="22"/>
        </w:rPr>
        <w:t xml:space="preserve">布林佐胺及其代谢物是否通过靶动物乳汁排泌未知，但可通过小鼠的乳汁排泌，因此哺乳期动物慎用。 </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7.</w:t>
      </w:r>
      <w:r>
        <w:rPr>
          <w:rFonts w:hint="eastAsia" w:ascii="Times New Roman" w:hAnsi="Times New Roman" w:eastAsia="宋体" w:cs="Times New Roman"/>
          <w:szCs w:val="22"/>
        </w:rPr>
        <w:t>口服碳酸酐酶抑制剂和滴用本品，有可能出现已知的与碳酸酐酶抑制有关的全身反应的累加作用，因此不推荐同时使用这两种药。</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8</w:t>
      </w:r>
      <w:r>
        <w:rPr>
          <w:rFonts w:ascii="Times New Roman" w:hAnsi="Times New Roman" w:eastAsia="宋体" w:cs="Times New Roman"/>
          <w:szCs w:val="22"/>
        </w:rPr>
        <w:t>.</w:t>
      </w:r>
      <w:r>
        <w:rPr>
          <w:rFonts w:hint="eastAsia" w:ascii="Times New Roman" w:hAnsi="Times New Roman" w:eastAsia="宋体" w:cs="Times New Roman"/>
          <w:szCs w:val="22"/>
        </w:rPr>
        <w:t>目前本品治疗假性囊膜剥脱性和色素性青光眼的经验有限，在治疗这些患病动物时需谨慎并建议密切监测眼内压（I</w:t>
      </w:r>
      <w:r>
        <w:rPr>
          <w:rFonts w:ascii="Times New Roman" w:hAnsi="Times New Roman" w:eastAsia="宋体" w:cs="Times New Roman"/>
          <w:szCs w:val="22"/>
        </w:rPr>
        <w:t>OP</w:t>
      </w:r>
      <w:r>
        <w:rPr>
          <w:rFonts w:hint="eastAsia" w:ascii="Times New Roman" w:hAnsi="Times New Roman" w:eastAsia="宋体" w:cs="Times New Roman"/>
          <w:szCs w:val="22"/>
        </w:rPr>
        <w:t>）。</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9</w:t>
      </w:r>
      <w:r>
        <w:rPr>
          <w:rFonts w:ascii="Times New Roman" w:hAnsi="Times New Roman" w:eastAsia="宋体" w:cs="Times New Roman"/>
          <w:szCs w:val="22"/>
        </w:rPr>
        <w:t>.</w:t>
      </w:r>
      <w:r>
        <w:rPr>
          <w:rFonts w:hint="eastAsia" w:ascii="Times New Roman" w:hAnsi="Times New Roman" w:eastAsia="宋体" w:cs="Times New Roman"/>
          <w:szCs w:val="22"/>
        </w:rPr>
        <w:t>没有研究本品在闭角型青光眼中的使用情况。</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10</w:t>
      </w:r>
      <w:r>
        <w:rPr>
          <w:rFonts w:ascii="Times New Roman" w:hAnsi="Times New Roman" w:eastAsia="宋体" w:cs="Times New Roman"/>
          <w:szCs w:val="22"/>
        </w:rPr>
        <w:t>.</w:t>
      </w:r>
      <w:r>
        <w:rPr>
          <w:rFonts w:hint="eastAsia" w:ascii="Times New Roman" w:hAnsi="Times New Roman" w:eastAsia="宋体" w:cs="Times New Roman"/>
          <w:szCs w:val="22"/>
        </w:rPr>
        <w:t>没有研究本品治疗停止而可能出现的反跳作用，预计降低眼内压作用可能持续5</w:t>
      </w:r>
      <w:r>
        <w:rPr>
          <w:rFonts w:hint="eastAsia" w:ascii="宋体" w:hAnsi="宋体" w:eastAsia="宋体" w:cs="Times New Roman"/>
          <w:szCs w:val="22"/>
        </w:rPr>
        <w:t>～</w:t>
      </w:r>
      <w:r>
        <w:rPr>
          <w:rFonts w:hint="eastAsia" w:ascii="Times New Roman" w:hAnsi="Times New Roman" w:eastAsia="宋体" w:cs="Times New Roman"/>
          <w:szCs w:val="22"/>
        </w:rPr>
        <w:t>7天。使用前摇匀。为避免污染药瓶口和混悬液，注意不要接触眼睑、药瓶口及其周围的区域。不用时紧闭瓶盖。</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【规格】</w:t>
      </w:r>
      <w:r>
        <w:rPr>
          <w:rFonts w:ascii="Times New Roman" w:hAnsi="Times New Roman" w:eastAsia="宋体" w:cs="Times New Roman"/>
          <w:szCs w:val="22"/>
        </w:rPr>
        <w:t xml:space="preserve"> 5</w:t>
      </w:r>
      <w:r>
        <w:rPr>
          <w:rFonts w:hint="eastAsia" w:ascii="Times New Roman" w:hAnsi="Times New Roman" w:eastAsia="宋体" w:cs="Times New Roman"/>
          <w:szCs w:val="22"/>
        </w:rPr>
        <w:t>ml</w:t>
      </w:r>
      <w:r>
        <w:rPr>
          <w:rFonts w:hint="eastAsia" w:ascii="宋体" w:hAnsi="宋体" w:eastAsia="宋体" w:cs="Times New Roman"/>
          <w:szCs w:val="22"/>
        </w:rPr>
        <w:t>︰</w:t>
      </w:r>
      <w:r>
        <w:rPr>
          <w:rFonts w:ascii="Times New Roman" w:hAnsi="Times New Roman" w:eastAsia="宋体" w:cs="Times New Roman"/>
          <w:szCs w:val="22"/>
        </w:rPr>
        <w:t>50</w:t>
      </w:r>
      <w:r>
        <w:rPr>
          <w:rFonts w:hint="eastAsia" w:ascii="Times New Roman" w:hAnsi="Times New Roman" w:eastAsia="宋体" w:cs="Times New Roman"/>
          <w:szCs w:val="22"/>
        </w:rPr>
        <w:t>mg</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【包装】</w:t>
      </w:r>
      <w:r>
        <w:rPr>
          <w:rFonts w:ascii="Times New Roman" w:hAnsi="Times New Roman" w:eastAsia="宋体" w:cs="Times New Roman"/>
          <w:szCs w:val="22"/>
        </w:rPr>
        <w:t> 2g/支</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【贮藏】</w:t>
      </w:r>
      <w:r>
        <w:rPr>
          <w:rFonts w:ascii="Times New Roman" w:hAnsi="Times New Roman" w:eastAsia="宋体" w:cs="Times New Roman"/>
          <w:szCs w:val="22"/>
        </w:rPr>
        <w:t> 密闭，在</w:t>
      </w:r>
      <w:r>
        <w:rPr>
          <w:rFonts w:hint="eastAsia" w:ascii="Times New Roman" w:hAnsi="Times New Roman" w:eastAsia="宋体" w:cs="Times New Roman"/>
          <w:szCs w:val="22"/>
        </w:rPr>
        <w:t>阴</w:t>
      </w:r>
      <w:r>
        <w:rPr>
          <w:rFonts w:ascii="Times New Roman" w:hAnsi="Times New Roman" w:eastAsia="宋体" w:cs="Times New Roman"/>
          <w:szCs w:val="22"/>
        </w:rPr>
        <w:t>凉处</w:t>
      </w:r>
      <w:r>
        <w:rPr>
          <w:rFonts w:hint="eastAsia" w:ascii="Times New Roman" w:hAnsi="Times New Roman" w:eastAsia="宋体" w:cs="Times New Roman"/>
          <w:szCs w:val="22"/>
        </w:rPr>
        <w:t>（</w:t>
      </w:r>
      <w:r>
        <w:rPr>
          <w:rFonts w:ascii="Times New Roman" w:hAnsi="Times New Roman" w:eastAsia="宋体" w:cs="Times New Roman"/>
          <w:szCs w:val="22"/>
        </w:rPr>
        <w:t>不超过20℃</w:t>
      </w:r>
      <w:r>
        <w:rPr>
          <w:rFonts w:hint="eastAsia" w:ascii="Times New Roman" w:hAnsi="Times New Roman" w:eastAsia="宋体" w:cs="Times New Roman"/>
          <w:szCs w:val="22"/>
        </w:rPr>
        <w:t>）</w:t>
      </w:r>
      <w:r>
        <w:rPr>
          <w:rFonts w:ascii="Times New Roman" w:hAnsi="Times New Roman" w:eastAsia="宋体" w:cs="Times New Roman"/>
          <w:szCs w:val="22"/>
        </w:rPr>
        <w:t>保存。</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【有效期】</w:t>
      </w:r>
      <w:r>
        <w:rPr>
          <w:rFonts w:ascii="Times New Roman" w:hAnsi="Times New Roman" w:eastAsia="宋体" w:cs="Times New Roman"/>
          <w:szCs w:val="22"/>
        </w:rPr>
        <w:t> 48个月</w:t>
      </w:r>
    </w:p>
    <w:p>
      <w:pPr>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【批准文号】</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r>
        <w:rPr>
          <w:rFonts w:ascii="黑体" w:hAnsi="黑体" w:eastAsia="黑体" w:cs="黑体"/>
          <w:b/>
          <w:bCs/>
          <w:kern w:val="44"/>
          <w:szCs w:val="21"/>
          <w:shd w:val="clear" w:color="auto" w:fill="FFFFFF"/>
        </w:rPr>
        <w:t>红霉素眼膏说明书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红霉素眼膏</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bookmarkStart w:id="2" w:name="OLE_LINK11"/>
      <w:r>
        <w:rPr>
          <w:rFonts w:hint="eastAsia" w:ascii="Times New Roman" w:hAnsi="Times New Roman" w:eastAsia="宋体" w:cs="Times New Roman"/>
          <w:bCs/>
          <w:kern w:val="0"/>
          <w:szCs w:val="21"/>
        </w:rPr>
        <w:t>Erythromycin</w:t>
      </w:r>
      <w:bookmarkEnd w:id="2"/>
      <w:r>
        <w:rPr>
          <w:rFonts w:hint="eastAsia" w:ascii="Times New Roman" w:hAnsi="Times New Roman" w:eastAsia="宋体" w:cs="Times New Roman"/>
          <w:bCs/>
          <w:kern w:val="0"/>
          <w:szCs w:val="21"/>
        </w:rPr>
        <w:t xml:space="preserve"> Eye Ointment</w:t>
      </w:r>
    </w:p>
    <w:p>
      <w:pPr>
        <w:widowControl/>
        <w:shd w:val="clear" w:color="auto" w:fill="FFFFFF"/>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汉语拼音</w:t>
      </w:r>
      <w:r>
        <w:rPr>
          <w:rFonts w:ascii="Times New Roman" w:hAnsi="Times New Roman" w:eastAsia="宋体" w:cs="Times New Roman"/>
          <w:bCs/>
          <w:sz w:val="24"/>
          <w:szCs w:val="21"/>
        </w:rPr>
        <w:t>：</w:t>
      </w:r>
      <w:r>
        <w:rPr>
          <w:rFonts w:hint="eastAsia" w:ascii="Times New Roman" w:hAnsi="Times New Roman" w:eastAsia="宋体" w:cs="Times New Roman"/>
          <w:bCs/>
          <w:kern w:val="0"/>
          <w:szCs w:val="21"/>
        </w:rPr>
        <w:t>Hongmeisu Yangao</w:t>
      </w:r>
    </w:p>
    <w:p>
      <w:pPr>
        <w:widowControl/>
        <w:shd w:val="clear" w:color="auto" w:fill="FFFFFF"/>
        <w:ind w:left="1265" w:right="150" w:hanging="1265" w:hangingChars="600"/>
        <w:rPr>
          <w:rFonts w:ascii="宋体" w:hAnsi="宋体" w:eastAsia="宋体" w:cs="宋体"/>
          <w:color w:val="666666"/>
          <w:sz w:val="28"/>
          <w:szCs w:val="28"/>
          <w:shd w:val="clear" w:color="auto" w:fill="FFFFFF"/>
        </w:rPr>
      </w:pPr>
      <w:r>
        <w:rPr>
          <w:rFonts w:ascii="黑体" w:hAnsi="黑体" w:eastAsia="黑体" w:cs="Times New Roman"/>
          <w:b/>
          <w:bCs/>
          <w:kern w:val="0"/>
          <w:szCs w:val="21"/>
        </w:rPr>
        <w:t>【主要成分】</w:t>
      </w:r>
      <w:r>
        <w:rPr>
          <w:rFonts w:hint="eastAsia" w:ascii="Times New Roman" w:hAnsi="Times New Roman" w:eastAsia="宋体" w:cs="Times New Roman"/>
          <w:szCs w:val="21"/>
        </w:rPr>
        <w:t>红霉素</w:t>
      </w:r>
    </w:p>
    <w:p>
      <w:pPr>
        <w:widowControl/>
        <w:shd w:val="clear" w:color="auto" w:fill="FFFFFF"/>
        <w:ind w:right="150"/>
        <w:rPr>
          <w:rFonts w:ascii="Times New Roman" w:hAnsi="Times New Roman" w:eastAsia="宋体" w:cs="Times New Roman"/>
          <w:szCs w:val="21"/>
        </w:rPr>
      </w:pPr>
      <w:r>
        <w:rPr>
          <w:rFonts w:ascii="黑体" w:hAnsi="黑体" w:eastAsia="黑体" w:cs="Times New Roman"/>
          <w:b/>
          <w:bCs/>
          <w:kern w:val="0"/>
          <w:szCs w:val="21"/>
        </w:rPr>
        <w:t>【性状】</w:t>
      </w:r>
      <w:r>
        <w:rPr>
          <w:rFonts w:hint="eastAsia" w:ascii="Times New Roman" w:hAnsi="Times New Roman" w:eastAsia="宋体" w:cs="Times New Roman"/>
          <w:szCs w:val="21"/>
        </w:rPr>
        <w:t>本品为淡黄色或黄色的软膏</w:t>
      </w:r>
    </w:p>
    <w:p>
      <w:pPr>
        <w:widowControl/>
        <w:ind w:right="150"/>
        <w:rPr>
          <w:rFonts w:ascii="Times New Roman" w:hAnsi="Times New Roman" w:eastAsia="宋体" w:cs="Times New Roman"/>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szCs w:val="21"/>
        </w:rPr>
        <w:t>红霉素为大环内酯类抗生素，作用机制是抑制细菌蛋白质合成，对革兰阳性细菌和沙眼衣原体有抗菌作用。</w:t>
      </w:r>
    </w:p>
    <w:p>
      <w:pPr>
        <w:adjustRightInd w:val="0"/>
        <w:snapToGrid w:val="0"/>
        <w:spacing w:line="276" w:lineRule="auto"/>
        <w:ind w:firstLine="420" w:firstLineChars="200"/>
        <w:rPr>
          <w:rFonts w:ascii="Times New Roman" w:hAnsi="Times New Roman" w:eastAsia="宋体" w:cs="Times New Roman"/>
          <w:szCs w:val="21"/>
        </w:rPr>
      </w:pPr>
      <w:r>
        <w:rPr>
          <w:rFonts w:hint="eastAsia" w:ascii="黑体" w:hAnsi="黑体" w:eastAsia="黑体" w:cs="Times New Roman"/>
          <w:kern w:val="0"/>
          <w:szCs w:val="21"/>
        </w:rPr>
        <w:t xml:space="preserve">药物相互作用 </w:t>
      </w:r>
      <w:r>
        <w:rPr>
          <w:rFonts w:hint="eastAsia" w:ascii="Times New Roman" w:hAnsi="Times New Roman" w:eastAsia="宋体" w:cs="Times New Roman"/>
          <w:szCs w:val="21"/>
        </w:rPr>
        <w:t>如正使用其他药品，使用本品前请咨询医师或药师。</w:t>
      </w:r>
    </w:p>
    <w:p>
      <w:pPr>
        <w:widowControl/>
        <w:shd w:val="clear" w:color="auto" w:fill="FFFFFF"/>
        <w:ind w:right="150"/>
        <w:rPr>
          <w:rFonts w:ascii="Times New Roman" w:hAnsi="Times New Roman" w:eastAsia="宋体" w:cs="Times New Roman"/>
          <w:szCs w:val="21"/>
        </w:rPr>
      </w:pPr>
      <w:r>
        <w:rPr>
          <w:rFonts w:hint="eastAsia" w:ascii="黑体" w:hAnsi="黑体" w:eastAsia="黑体" w:cs="Times New Roman"/>
          <w:b/>
          <w:bCs/>
          <w:kern w:val="0"/>
          <w:szCs w:val="21"/>
        </w:rPr>
        <w:t>【适应证】</w:t>
      </w:r>
      <w:r>
        <w:rPr>
          <w:rFonts w:hint="eastAsia" w:ascii="Times New Roman" w:hAnsi="Times New Roman" w:eastAsia="宋体" w:cs="Times New Roman"/>
          <w:szCs w:val="21"/>
        </w:rPr>
        <w:t>用于沙眼、结膜炎、角膜炎、眼睑缘炎及眼外部感染。</w:t>
      </w:r>
    </w:p>
    <w:p>
      <w:pPr>
        <w:widowControl/>
        <w:shd w:val="clear" w:color="auto" w:fill="FFFFFF"/>
        <w:ind w:right="150"/>
        <w:rPr>
          <w:rFonts w:ascii="Times New Roman" w:hAnsi="Times New Roman" w:eastAsia="宋体" w:cs="Times New Roman"/>
          <w:szCs w:val="21"/>
        </w:rPr>
      </w:pPr>
      <w:r>
        <w:rPr>
          <w:rFonts w:ascii="黑体" w:hAnsi="黑体" w:eastAsia="黑体" w:cs="Times New Roman"/>
          <w:b/>
          <w:bCs/>
          <w:kern w:val="0"/>
          <w:szCs w:val="21"/>
        </w:rPr>
        <w:t>【用法</w:t>
      </w:r>
      <w:r>
        <w:rPr>
          <w:rFonts w:hint="eastAsia" w:ascii="黑体" w:hAnsi="黑体" w:eastAsia="黑体" w:cs="Times New Roman"/>
          <w:b/>
          <w:bCs/>
          <w:kern w:val="0"/>
          <w:szCs w:val="21"/>
        </w:rPr>
        <w:t>与</w:t>
      </w:r>
      <w:r>
        <w:rPr>
          <w:rFonts w:ascii="黑体" w:hAnsi="黑体" w:eastAsia="黑体" w:cs="Times New Roman"/>
          <w:b/>
          <w:bCs/>
          <w:kern w:val="0"/>
          <w:szCs w:val="21"/>
        </w:rPr>
        <w:t>用量】</w:t>
      </w:r>
      <w:r>
        <w:rPr>
          <w:rFonts w:hint="eastAsia" w:ascii="Times New Roman" w:hAnsi="Times New Roman" w:eastAsia="宋体" w:cs="Times New Roman"/>
          <w:szCs w:val="21"/>
        </w:rPr>
        <w:t>涂于眼睑内，一日2～6次，频率取决于感染的严重程度，最后一次宜在睡前使用。</w:t>
      </w:r>
    </w:p>
    <w:p>
      <w:pPr>
        <w:widowControl/>
        <w:shd w:val="clear" w:color="auto" w:fill="FFFFFF"/>
        <w:ind w:right="150"/>
        <w:rPr>
          <w:rFonts w:ascii="Times New Roman" w:hAnsi="Times New Roman" w:eastAsia="宋体" w:cs="Times New Roman"/>
          <w:szCs w:val="21"/>
        </w:rPr>
      </w:pPr>
      <w:r>
        <w:rPr>
          <w:rFonts w:ascii="黑体" w:hAnsi="黑体" w:eastAsia="黑体" w:cs="Times New Roman"/>
          <w:b/>
          <w:bCs/>
          <w:kern w:val="0"/>
          <w:szCs w:val="21"/>
        </w:rPr>
        <w:t>【不良反应】</w:t>
      </w:r>
      <w:r>
        <w:rPr>
          <w:rFonts w:hint="eastAsia" w:ascii="Times New Roman" w:hAnsi="Times New Roman" w:eastAsia="宋体" w:cs="Times New Roman"/>
          <w:szCs w:val="21"/>
        </w:rPr>
        <w:t>偶见眼睛疼痛，持续性发红或刺激感等过敏反应。</w:t>
      </w:r>
    </w:p>
    <w:p>
      <w:pPr>
        <w:widowControl/>
        <w:ind w:right="150"/>
        <w:rPr>
          <w:rFonts w:ascii="Times New Roman" w:hAnsi="Times New Roman" w:eastAsia="宋体" w:cs="Times New Roman"/>
          <w:szCs w:val="21"/>
        </w:rPr>
      </w:pPr>
      <w:r>
        <w:rPr>
          <w:rFonts w:ascii="黑体" w:hAnsi="黑体" w:eastAsia="黑体" w:cs="Times New Roman"/>
          <w:b/>
          <w:bCs/>
          <w:kern w:val="0"/>
          <w:szCs w:val="21"/>
        </w:rPr>
        <w:t>【注意事项】</w:t>
      </w:r>
      <w:r>
        <w:rPr>
          <w:rFonts w:hint="eastAsia" w:ascii="Times New Roman" w:hAnsi="Times New Roman" w:eastAsia="宋体" w:cs="Times New Roman"/>
          <w:bCs/>
          <w:szCs w:val="21"/>
        </w:rPr>
        <w:t>1.</w:t>
      </w:r>
      <w:r>
        <w:rPr>
          <w:rFonts w:hint="eastAsia" w:ascii="Times New Roman" w:hAnsi="Times New Roman" w:eastAsia="宋体" w:cs="Times New Roman"/>
          <w:szCs w:val="21"/>
        </w:rPr>
        <w:t>对本品过敏者禁用。</w:t>
      </w:r>
    </w:p>
    <w:p>
      <w:pPr>
        <w:widowControl/>
        <w:ind w:left="420" w:right="150"/>
        <w:rPr>
          <w:rFonts w:ascii="Times New Roman" w:hAnsi="Times New Roman" w:eastAsia="宋体" w:cs="Times New Roman"/>
          <w:szCs w:val="21"/>
        </w:rPr>
      </w:pPr>
      <w:r>
        <w:rPr>
          <w:rFonts w:hint="eastAsia" w:ascii="Times New Roman" w:hAnsi="Times New Roman" w:eastAsia="宋体" w:cs="Times New Roman"/>
          <w:szCs w:val="21"/>
        </w:rPr>
        <w:t>2.用前应洗净双手。</w:t>
      </w:r>
    </w:p>
    <w:p>
      <w:pPr>
        <w:widowControl/>
        <w:ind w:left="420" w:right="150"/>
        <w:rPr>
          <w:rFonts w:ascii="Times New Roman" w:hAnsi="Times New Roman" w:eastAsia="宋体" w:cs="Times New Roman"/>
          <w:szCs w:val="21"/>
        </w:rPr>
      </w:pPr>
      <w:r>
        <w:rPr>
          <w:rFonts w:hint="eastAsia" w:ascii="Times New Roman" w:hAnsi="Times New Roman" w:eastAsia="宋体" w:cs="Times New Roman"/>
          <w:szCs w:val="21"/>
        </w:rPr>
        <w:t>3.使用后应拧紧瓶盖，以免污染药品。</w:t>
      </w:r>
    </w:p>
    <w:p>
      <w:pPr>
        <w:widowControl/>
        <w:ind w:left="420" w:right="150"/>
        <w:rPr>
          <w:rFonts w:ascii="Times New Roman" w:hAnsi="Times New Roman" w:eastAsia="宋体" w:cs="Times New Roman"/>
          <w:szCs w:val="21"/>
        </w:rPr>
      </w:pPr>
      <w:r>
        <w:rPr>
          <w:rFonts w:hint="eastAsia" w:ascii="Times New Roman" w:hAnsi="Times New Roman" w:eastAsia="宋体" w:cs="Times New Roman"/>
          <w:szCs w:val="21"/>
        </w:rPr>
        <w:t>4.当药物发生性状改变时禁止使用。</w:t>
      </w:r>
    </w:p>
    <w:p>
      <w:pPr>
        <w:widowControl/>
        <w:ind w:left="420" w:right="150"/>
        <w:rPr>
          <w:rFonts w:ascii="Times New Roman" w:hAnsi="Times New Roman" w:eastAsia="宋体" w:cs="Times New Roman"/>
          <w:szCs w:val="21"/>
        </w:rPr>
      </w:pPr>
      <w:r>
        <w:rPr>
          <w:rFonts w:hint="eastAsia" w:ascii="Times New Roman" w:hAnsi="Times New Roman" w:eastAsia="宋体" w:cs="Times New Roman"/>
          <w:szCs w:val="21"/>
        </w:rPr>
        <w:t>5.请将本品放在儿童不能接触的地方。</w:t>
      </w:r>
    </w:p>
    <w:p>
      <w:pPr>
        <w:widowControl/>
        <w:ind w:left="420" w:right="150"/>
        <w:rPr>
          <w:rFonts w:ascii="Times New Roman" w:hAnsi="Times New Roman" w:eastAsia="宋体" w:cs="Times New Roman"/>
          <w:szCs w:val="21"/>
        </w:rPr>
      </w:pPr>
      <w:r>
        <w:rPr>
          <w:rFonts w:hint="eastAsia" w:ascii="Times New Roman" w:hAnsi="Times New Roman" w:eastAsia="宋体" w:cs="Times New Roman"/>
          <w:szCs w:val="21"/>
        </w:rPr>
        <w:t>6.长期或反复使用抗生素可能会导致耐药菌的过度感染。</w:t>
      </w:r>
    </w:p>
    <w:p>
      <w:pPr>
        <w:widowControl/>
        <w:adjustRightInd w:val="0"/>
        <w:snapToGrid w:val="0"/>
        <w:spacing w:line="276" w:lineRule="auto"/>
        <w:ind w:right="150"/>
        <w:rPr>
          <w:rFonts w:ascii="Times New Roman" w:hAnsi="Times New Roman" w:eastAsia="宋体" w:cs="Times New Roman"/>
          <w:sz w:val="24"/>
          <w:szCs w:val="21"/>
        </w:rPr>
      </w:pPr>
      <w:r>
        <w:rPr>
          <w:rFonts w:ascii="黑体" w:hAnsi="黑体" w:eastAsia="黑体" w:cs="Times New Roman"/>
          <w:b/>
          <w:bCs/>
          <w:kern w:val="0"/>
          <w:szCs w:val="21"/>
        </w:rPr>
        <w:t>【规格】</w:t>
      </w:r>
      <w:r>
        <w:rPr>
          <w:rFonts w:hint="eastAsia" w:ascii="Times New Roman" w:hAnsi="Times New Roman" w:eastAsia="宋体" w:cs="Times New Roman"/>
          <w:szCs w:val="21"/>
        </w:rPr>
        <w:t>0.5%</w:t>
      </w:r>
    </w:p>
    <w:p>
      <w:pPr>
        <w:widowControl/>
        <w:adjustRightInd w:val="0"/>
        <w:snapToGrid w:val="0"/>
        <w:spacing w:line="276" w:lineRule="auto"/>
        <w:ind w:right="150"/>
        <w:rPr>
          <w:rFonts w:ascii="Times New Roman" w:hAnsi="Times New Roman" w:eastAsia="宋体" w:cs="Times New Roman"/>
          <w:bCs/>
          <w:sz w:val="24"/>
          <w:szCs w:val="21"/>
        </w:rPr>
      </w:pPr>
      <w:r>
        <w:rPr>
          <w:rFonts w:ascii="黑体" w:hAnsi="黑体" w:eastAsia="黑体" w:cs="Times New Roman"/>
          <w:b/>
          <w:bCs/>
          <w:kern w:val="0"/>
          <w:szCs w:val="21"/>
        </w:rPr>
        <w:t>【包装】</w:t>
      </w:r>
    </w:p>
    <w:p>
      <w:pPr>
        <w:adjustRightInd w:val="0"/>
        <w:snapToGrid w:val="0"/>
        <w:spacing w:line="276" w:lineRule="auto"/>
        <w:ind w:right="-946"/>
        <w:rPr>
          <w:rFonts w:ascii="Times New Roman" w:hAnsi="Times New Roman" w:eastAsia="宋体" w:cs="Times New Roman"/>
          <w:szCs w:val="21"/>
        </w:rPr>
      </w:pPr>
      <w:r>
        <w:rPr>
          <w:rFonts w:ascii="黑体" w:hAnsi="黑体" w:eastAsia="黑体" w:cs="Times New Roman"/>
          <w:b/>
          <w:bCs/>
          <w:kern w:val="0"/>
          <w:szCs w:val="21"/>
        </w:rPr>
        <w:t>【贮藏】</w:t>
      </w:r>
      <w:r>
        <w:rPr>
          <w:rFonts w:hint="eastAsia" w:ascii="Times New Roman" w:hAnsi="Times New Roman" w:eastAsia="宋体" w:cs="Times New Roman"/>
          <w:szCs w:val="21"/>
        </w:rPr>
        <w:t>密闭，在阴凉干燥处保存。</w:t>
      </w:r>
    </w:p>
    <w:p>
      <w:pPr>
        <w:adjustRightInd w:val="0"/>
        <w:snapToGrid w:val="0"/>
        <w:spacing w:line="276" w:lineRule="auto"/>
        <w:rPr>
          <w:rFonts w:ascii="Times New Roman" w:hAnsi="Times New Roman" w:eastAsia="宋体" w:cs="Times New Roman"/>
          <w:szCs w:val="21"/>
        </w:rPr>
      </w:pPr>
      <w:r>
        <w:rPr>
          <w:rFonts w:ascii="黑体" w:hAnsi="黑体" w:eastAsia="黑体" w:cs="Times New Roman"/>
          <w:b/>
          <w:bCs/>
          <w:kern w:val="0"/>
          <w:szCs w:val="21"/>
        </w:rPr>
        <w:t>【有效期】</w:t>
      </w:r>
      <w:r>
        <w:rPr>
          <w:rFonts w:hint="eastAsia" w:ascii="Times New Roman" w:hAnsi="Times New Roman" w:eastAsia="宋体" w:cs="Times New Roman"/>
          <w:szCs w:val="21"/>
        </w:rPr>
        <w:t>60个月</w:t>
      </w:r>
    </w:p>
    <w:p>
      <w:pPr>
        <w:adjustRightInd w:val="0"/>
        <w:snapToGrid w:val="0"/>
        <w:spacing w:line="276" w:lineRule="auto"/>
        <w:ind w:right="-946"/>
        <w:rPr>
          <w:rFonts w:ascii="黑体" w:hAnsi="黑体" w:eastAsia="黑体" w:cs="Times New Roman"/>
          <w:kern w:val="0"/>
          <w:szCs w:val="21"/>
        </w:rPr>
      </w:pPr>
      <w:r>
        <w:rPr>
          <w:rFonts w:ascii="黑体" w:hAnsi="黑体" w:eastAsia="黑体" w:cs="Times New Roman"/>
          <w:b/>
          <w:bCs/>
          <w:kern w:val="0"/>
          <w:szCs w:val="21"/>
        </w:rPr>
        <w:t>【批准文号】</w:t>
      </w:r>
      <w:r>
        <w:rPr>
          <w:rFonts w:ascii="黑体" w:hAnsi="黑体" w:eastAsia="黑体" w:cs="Times New Roman"/>
          <w:kern w:val="0"/>
          <w:szCs w:val="21"/>
        </w:rPr>
        <w:t xml:space="preserve"> </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rPr>
          <w:rFonts w:ascii="黑体" w:hAnsi="黑体" w:eastAsia="黑体"/>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黑体" w:hAnsi="黑体" w:eastAsia="黑体"/>
          <w:color w:val="000000" w:themeColor="text1"/>
          <w:sz w:val="21"/>
          <w:szCs w:val="21"/>
          <w14:textFill>
            <w14:solidFill>
              <w14:schemeClr w14:val="tx1"/>
            </w14:solidFill>
          </w14:textFill>
        </w:rPr>
      </w:pPr>
      <w:r>
        <w:rPr>
          <w:rFonts w:hint="default" w:ascii="黑体" w:hAnsi="黑体" w:eastAsia="黑体"/>
          <w:color w:val="000000" w:themeColor="text1"/>
          <w:sz w:val="21"/>
          <w:szCs w:val="21"/>
          <w:shd w:val="clear" w:color="auto" w:fill="FFFFFF"/>
          <w14:textFill>
            <w14:solidFill>
              <w14:schemeClr w14:val="tx1"/>
            </w14:solidFill>
          </w14:textFill>
        </w:rPr>
        <w:t>更昔洛韦滴眼液</w:t>
      </w:r>
      <w:r>
        <w:rPr>
          <w:rFonts w:ascii="黑体" w:hAnsi="黑体" w:eastAsia="黑体"/>
          <w:color w:val="000000" w:themeColor="text1"/>
          <w:sz w:val="21"/>
          <w:szCs w:val="21"/>
          <w:shd w:val="clear" w:color="auto" w:fill="FFFFFF"/>
          <w14:textFill>
            <w14:solidFill>
              <w14:schemeClr w14:val="tx1"/>
            </w14:solidFill>
          </w14:textFill>
        </w:rPr>
        <w:t>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兽药</w:t>
      </w:r>
      <w:r>
        <w:rPr>
          <w:rFonts w:ascii="黑体" w:hAnsi="黑体" w:eastAsia="黑体" w:cs="Times New Roman"/>
          <w:b/>
          <w:bCs/>
          <w:kern w:val="0"/>
          <w:szCs w:val="21"/>
        </w:rPr>
        <w:t>名称】</w:t>
      </w:r>
    </w:p>
    <w:p>
      <w:pPr>
        <w:pStyle w:val="7"/>
        <w:widowControl/>
        <w:adjustRightInd w:val="0"/>
        <w:snapToGrid w:val="0"/>
        <w:spacing w:line="276" w:lineRule="auto"/>
        <w:ind w:left="1260" w:leftChars="200" w:right="150" w:hanging="840" w:hangingChars="4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通用名称：更昔洛韦滴眼液</w:t>
      </w:r>
    </w:p>
    <w:p>
      <w:pPr>
        <w:pStyle w:val="7"/>
        <w:widowControl/>
        <w:adjustRightInd w:val="0"/>
        <w:snapToGrid w:val="0"/>
        <w:spacing w:line="276" w:lineRule="auto"/>
        <w:ind w:left="1260" w:leftChars="200" w:right="150" w:hanging="840" w:hangingChars="4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英文名称：</w:t>
      </w:r>
      <w:bookmarkStart w:id="3" w:name="OLE_LINK1"/>
      <w:bookmarkStart w:id="4" w:name="OLE_LINK8"/>
      <w:r>
        <w:rPr>
          <w:rFonts w:ascii="Times New Roman" w:hAnsi="Times New Roman" w:eastAsia="宋体" w:cs="Times New Roman"/>
          <w:color w:val="000000" w:themeColor="text1"/>
          <w:sz w:val="21"/>
          <w:szCs w:val="21"/>
          <w14:textFill>
            <w14:solidFill>
              <w14:schemeClr w14:val="tx1"/>
            </w14:solidFill>
          </w14:textFill>
        </w:rPr>
        <w:t>Ganciclovir</w:t>
      </w:r>
      <w:bookmarkEnd w:id="3"/>
      <w:r>
        <w:rPr>
          <w:rFonts w:ascii="Times New Roman" w:hAnsi="Times New Roman" w:eastAsia="宋体" w:cs="Times New Roman"/>
          <w:color w:val="000000" w:themeColor="text1"/>
          <w:sz w:val="21"/>
          <w:szCs w:val="21"/>
          <w14:textFill>
            <w14:solidFill>
              <w14:schemeClr w14:val="tx1"/>
            </w14:solidFill>
          </w14:textFill>
        </w:rPr>
        <w:t xml:space="preserve"> </w:t>
      </w:r>
      <w:bookmarkEnd w:id="4"/>
      <w:r>
        <w:rPr>
          <w:rFonts w:ascii="Times New Roman" w:hAnsi="Times New Roman" w:eastAsia="宋体" w:cs="Times New Roman"/>
          <w:color w:val="000000" w:themeColor="text1"/>
          <w:sz w:val="21"/>
          <w:szCs w:val="21"/>
          <w14:textFill>
            <w14:solidFill>
              <w14:schemeClr w14:val="tx1"/>
            </w14:solidFill>
          </w14:textFill>
        </w:rPr>
        <w:t>Eye Drops</w:t>
      </w:r>
    </w:p>
    <w:p>
      <w:pPr>
        <w:pStyle w:val="7"/>
        <w:widowControl/>
        <w:adjustRightInd w:val="0"/>
        <w:snapToGrid w:val="0"/>
        <w:spacing w:line="276" w:lineRule="auto"/>
        <w:ind w:left="1260" w:leftChars="200" w:right="150" w:hanging="840" w:hangingChars="4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商品名称</w:t>
      </w:r>
    </w:p>
    <w:p>
      <w:pPr>
        <w:pStyle w:val="7"/>
        <w:widowControl/>
        <w:adjustRightInd w:val="0"/>
        <w:snapToGrid w:val="0"/>
        <w:spacing w:line="276" w:lineRule="auto"/>
        <w:ind w:left="1260" w:leftChars="200" w:right="150" w:hanging="840" w:hangingChars="4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汉语拼音：Gengxiluowei Diyanye</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w:t>
      </w:r>
      <w:r>
        <w:rPr>
          <w:rFonts w:hint="eastAsia" w:ascii="黑体" w:hAnsi="黑体" w:eastAsia="黑体" w:cs="Times New Roman"/>
          <w:b/>
          <w:bCs/>
          <w:kern w:val="0"/>
          <w:sz w:val="21"/>
          <w:szCs w:val="21"/>
        </w:rPr>
        <w:t>主要</w:t>
      </w:r>
      <w:r>
        <w:rPr>
          <w:rFonts w:ascii="黑体" w:hAnsi="黑体" w:eastAsia="黑体" w:cs="Times New Roman"/>
          <w:b/>
          <w:bCs/>
          <w:kern w:val="0"/>
          <w:sz w:val="21"/>
          <w:szCs w:val="21"/>
        </w:rPr>
        <w:t>成</w:t>
      </w:r>
      <w:r>
        <w:rPr>
          <w:rFonts w:hint="eastAsia" w:ascii="黑体" w:hAnsi="黑体" w:eastAsia="黑体" w:cs="Times New Roman"/>
          <w:b/>
          <w:bCs/>
          <w:kern w:val="0"/>
          <w:sz w:val="21"/>
          <w:szCs w:val="21"/>
        </w:rPr>
        <w:t>分</w:t>
      </w:r>
      <w:r>
        <w:rPr>
          <w:rFonts w:ascii="黑体" w:hAnsi="黑体" w:eastAsia="黑体" w:cs="Times New Roman"/>
          <w:b/>
          <w:bCs/>
          <w:kern w:val="0"/>
          <w:sz w:val="21"/>
          <w:szCs w:val="21"/>
        </w:rPr>
        <w:t>】</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更昔洛韦</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【性状】</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本品为无色的澄明液体</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【药理作用】</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更昔洛韦(GCV)对疱疹病毒具有广谱抑制作用，对巨细胞病毒作用最强，对Ⅰ、Ⅱ型单纯疱疹病毒(HSV-Ⅰ、HSV-Ⅱ)、水痘-带状疱疹病毒(VZV)和EB(Epstein-Barr)病毒有效。更昔洛韦对HSV-Ⅰ、HSV-Ⅱ和VZV的抑制作用是由于GCV能被病毒编码的胸苷激酶(TK)磷酸化为单磷酸更昔洛韦，后者再通过细胞酶的催化作用形成二磷酸、三磷酸更昔洛韦。三磷酸更昔洛韦是单纯疱疹病毒DNA聚合酶的强抑制剂，它作为病毒DNA聚合酶的底物与酶结合并掺入病毒DNA中去，因而终止病毒DNA的合成。</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【药物相互作用】</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因未进行专项研究，尚不清楚</w:t>
      </w:r>
      <w:r>
        <w:rPr>
          <w:rFonts w:hint="eastAsia" w:ascii="Times New Roman" w:hAnsi="Times New Roman" w:eastAsia="宋体" w:cs="Times New Roman"/>
          <w:color w:val="000000" w:themeColor="text1"/>
          <w:sz w:val="21"/>
          <w:szCs w:val="21"/>
          <w14:textFill>
            <w14:solidFill>
              <w14:schemeClr w14:val="tx1"/>
            </w14:solidFill>
          </w14:textFill>
        </w:rPr>
        <w:t>本品</w:t>
      </w:r>
      <w:r>
        <w:rPr>
          <w:rFonts w:ascii="Times New Roman" w:hAnsi="Times New Roman" w:eastAsia="宋体" w:cs="Times New Roman"/>
          <w:color w:val="000000" w:themeColor="text1"/>
          <w:sz w:val="21"/>
          <w:szCs w:val="21"/>
          <w14:textFill>
            <w14:solidFill>
              <w14:schemeClr w14:val="tx1"/>
            </w14:solidFill>
          </w14:textFill>
        </w:rPr>
        <w:t>与其它滴眼液的相互作用；但文献报道更昔洛韦静脉给药与肾毒性药物</w:t>
      </w:r>
      <w:r>
        <w:rPr>
          <w:rFonts w:hint="eastAsia"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如两性霉索B、环孢素</w:t>
      </w:r>
      <w:r>
        <w:rPr>
          <w:rFonts w:hint="eastAsia"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同用时可能增强肾功能损害，使本品经肾排出量减少而引起毒性反应；与丙磺舒或抑制肾小管分泌的药物合用可使本品的肾清除量减少约22％，其药时曲线下面积增加约53％，因而易产生毒性反应；与亚胺培南-西司他丁同用可发生全身抽搐：应避免与氨苯砜、喷他咪、氟胞嘧啶、长春碱、多柔比星、甲氧苄啶、磺胺类及核苷类药物合用，可能会增加更昔洛韦的毒性。故使用本品应避免与上述药物同用。</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w:t>
      </w:r>
      <w:r>
        <w:rPr>
          <w:rFonts w:hint="eastAsia" w:ascii="黑体" w:hAnsi="黑体" w:eastAsia="黑体" w:cs="Times New Roman"/>
          <w:b/>
          <w:bCs/>
          <w:kern w:val="0"/>
          <w:sz w:val="21"/>
          <w:szCs w:val="21"/>
        </w:rPr>
        <w:t>作用与用途</w:t>
      </w:r>
      <w:r>
        <w:rPr>
          <w:rFonts w:ascii="黑体" w:hAnsi="黑体" w:eastAsia="黑体" w:cs="Times New Roman"/>
          <w:b/>
          <w:bCs/>
          <w:kern w:val="0"/>
          <w:sz w:val="21"/>
          <w:szCs w:val="21"/>
        </w:rPr>
        <w:t>】</w:t>
      </w:r>
      <w:r>
        <w:rPr>
          <w:rFonts w:ascii="Times New Roman" w:hAnsi="Times New Roman" w:eastAsia="宋体" w:cs="Times New Roman"/>
          <w:color w:val="000000" w:themeColor="text1"/>
          <w:sz w:val="21"/>
          <w:szCs w:val="21"/>
          <w14:textFill>
            <w14:solidFill>
              <w14:schemeClr w14:val="tx1"/>
            </w14:solidFill>
          </w14:textFill>
        </w:rPr>
        <w:t>用于治疗眼部疱疹病毒感染。</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【用法</w:t>
      </w:r>
      <w:r>
        <w:rPr>
          <w:rFonts w:hint="eastAsia" w:ascii="黑体" w:hAnsi="黑体" w:eastAsia="黑体" w:cs="Times New Roman"/>
          <w:b/>
          <w:bCs/>
          <w:kern w:val="0"/>
          <w:sz w:val="21"/>
          <w:szCs w:val="21"/>
        </w:rPr>
        <w:t>与</w:t>
      </w:r>
      <w:r>
        <w:rPr>
          <w:rFonts w:ascii="黑体" w:hAnsi="黑体" w:eastAsia="黑体" w:cs="Times New Roman"/>
          <w:b/>
          <w:bCs/>
          <w:kern w:val="0"/>
          <w:sz w:val="21"/>
          <w:szCs w:val="21"/>
        </w:rPr>
        <w:t>用量】</w:t>
      </w:r>
      <w:r>
        <w:rPr>
          <w:rFonts w:hint="eastAsia" w:ascii="黑体" w:hAnsi="黑体" w:eastAsia="黑体" w:cs="Times New Roman"/>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眼部外用。</w:t>
      </w:r>
      <w:r>
        <w:rPr>
          <w:rFonts w:ascii="Times New Roman" w:hAnsi="Times New Roman" w:eastAsia="宋体" w:cs="Times New Roman"/>
          <w:color w:val="000000" w:themeColor="text1"/>
          <w:sz w:val="21"/>
          <w:szCs w:val="21"/>
          <w14:textFill>
            <w14:solidFill>
              <w14:schemeClr w14:val="tx1"/>
            </w14:solidFill>
          </w14:textFill>
        </w:rPr>
        <w:t>滴入眼睑内，</w:t>
      </w:r>
      <w:r>
        <w:rPr>
          <w:rFonts w:hint="eastAsia" w:ascii="Times New Roman" w:hAnsi="Times New Roman" w:eastAsia="宋体" w:cs="Times New Roman"/>
          <w:color w:val="000000" w:themeColor="text1"/>
          <w:sz w:val="21"/>
          <w:szCs w:val="21"/>
          <w14:textFill>
            <w14:solidFill>
              <w14:schemeClr w14:val="tx1"/>
            </w14:solidFill>
          </w14:textFill>
        </w:rPr>
        <w:t>每</w:t>
      </w:r>
      <w:r>
        <w:rPr>
          <w:rFonts w:ascii="Times New Roman" w:hAnsi="Times New Roman" w:eastAsia="宋体" w:cs="Times New Roman"/>
          <w:color w:val="000000" w:themeColor="text1"/>
          <w:sz w:val="21"/>
          <w:szCs w:val="21"/>
          <w14:textFill>
            <w14:solidFill>
              <w14:schemeClr w14:val="tx1"/>
            </w14:solidFill>
          </w14:textFill>
        </w:rPr>
        <w:t>日5～8次</w:t>
      </w:r>
      <w:r>
        <w:rPr>
          <w:rFonts w:hint="eastAsia" w:ascii="Times New Roman" w:hAnsi="Times New Roman" w:eastAsia="宋体" w:cs="Times New Roman"/>
          <w:color w:val="000000" w:themeColor="text1"/>
          <w:sz w:val="21"/>
          <w:szCs w:val="21"/>
          <w14:textFill>
            <w14:solidFill>
              <w14:schemeClr w14:val="tx1"/>
            </w14:solidFill>
          </w14:textFill>
        </w:rPr>
        <w:t>，每</w:t>
      </w:r>
      <w:r>
        <w:rPr>
          <w:rFonts w:ascii="Times New Roman" w:hAnsi="Times New Roman" w:eastAsia="宋体" w:cs="Times New Roman"/>
          <w:color w:val="000000" w:themeColor="text1"/>
          <w:sz w:val="21"/>
          <w:szCs w:val="21"/>
          <w14:textFill>
            <w14:solidFill>
              <w14:schemeClr w14:val="tx1"/>
            </w14:solidFill>
          </w14:textFill>
        </w:rPr>
        <w:t>次1</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2滴，每3小时一次</w:t>
      </w:r>
      <w:r>
        <w:rPr>
          <w:rFonts w:hint="eastAsia" w:ascii="Times New Roman" w:hAnsi="Times New Roman" w:eastAsia="宋体" w:cs="Times New Roman"/>
          <w:color w:val="000000" w:themeColor="text1"/>
          <w:sz w:val="21"/>
          <w:szCs w:val="21"/>
          <w14:textFill>
            <w14:solidFill>
              <w14:schemeClr w14:val="tx1"/>
            </w14:solidFill>
          </w14:textFill>
        </w:rPr>
        <w:t>。</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【不良反应】</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滴眼可引起轻度眼睑水肿、结膜充血、疼痛和烧灼感等症状，减少用药次数后能耐受继续治疗</w:t>
      </w:r>
    </w:p>
    <w:p>
      <w:pPr>
        <w:pStyle w:val="7"/>
        <w:widowControl/>
        <w:adjustRightInd w:val="0"/>
        <w:snapToGrid w:val="0"/>
        <w:spacing w:line="276" w:lineRule="auto"/>
        <w:ind w:right="150"/>
        <w:rPr>
          <w:rFonts w:ascii="黑体" w:hAnsi="黑体" w:eastAsia="黑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【注意事项】</w:t>
      </w:r>
      <w:r>
        <w:rPr>
          <w:rFonts w:hint="eastAsia" w:ascii="黑体" w:hAnsi="黑体" w:eastAsia="黑体" w:cs="Times New Roman"/>
          <w:b/>
          <w:bCs/>
          <w:kern w:val="0"/>
          <w:sz w:val="21"/>
          <w:szCs w:val="21"/>
        </w:rPr>
        <w:t xml:space="preserve"> </w:t>
      </w:r>
      <w:r>
        <w:rPr>
          <w:rFonts w:ascii="Times New Roman" w:hAnsi="Times New Roman" w:eastAsia="黑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对更昔洛韦过敏者禁用。</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2.仅供眼部外用。</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【规格】</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1mg/ml</w:t>
      </w:r>
    </w:p>
    <w:p>
      <w:pPr>
        <w:pStyle w:val="7"/>
        <w:widowControl/>
        <w:adjustRightInd w:val="0"/>
        <w:snapToGrid w:val="0"/>
        <w:spacing w:line="276" w:lineRule="auto"/>
        <w:ind w:right="150"/>
        <w:rPr>
          <w:rFonts w:ascii="黑体" w:hAnsi="黑体" w:eastAsia="黑体" w:cs="Times New Roman"/>
          <w:b/>
          <w:bCs/>
          <w:kern w:val="0"/>
          <w:sz w:val="21"/>
          <w:szCs w:val="21"/>
        </w:rPr>
      </w:pPr>
      <w:r>
        <w:rPr>
          <w:rFonts w:hint="eastAsia" w:ascii="黑体" w:hAnsi="黑体" w:eastAsia="黑体" w:cs="Times New Roman"/>
          <w:b/>
          <w:bCs/>
          <w:kern w:val="0"/>
          <w:sz w:val="21"/>
          <w:szCs w:val="21"/>
        </w:rPr>
        <w:t xml:space="preserve">【包装】 </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【贮藏】</w:t>
      </w:r>
      <w:r>
        <w:rPr>
          <w:rFonts w:hint="eastAsia" w:ascii="黑体" w:hAnsi="黑体" w:eastAsia="黑体" w:cs="Times New Roman"/>
          <w:b/>
          <w:bCs/>
          <w:kern w:val="0"/>
          <w:sz w:val="21"/>
          <w:szCs w:val="21"/>
        </w:rPr>
        <w:t xml:space="preserve"> </w:t>
      </w:r>
      <w:r>
        <w:rPr>
          <w:rFonts w:ascii="Times New Roman" w:hAnsi="Times New Roman" w:eastAsia="宋体" w:cs="Times New Roman"/>
          <w:color w:val="000000" w:themeColor="text1"/>
          <w:sz w:val="21"/>
          <w:szCs w:val="21"/>
          <w14:textFill>
            <w14:solidFill>
              <w14:schemeClr w14:val="tx1"/>
            </w14:solidFill>
          </w14:textFill>
        </w:rPr>
        <w:t>遮光，密闭，在10℃以上保存</w:t>
      </w:r>
      <w:r>
        <w:rPr>
          <w:rFonts w:hint="eastAsia" w:ascii="Times New Roman" w:hAnsi="Times New Roman" w:eastAsia="宋体" w:cs="Times New Roman"/>
          <w:color w:val="000000" w:themeColor="text1"/>
          <w:sz w:val="21"/>
          <w:szCs w:val="21"/>
          <w14:textFill>
            <w14:solidFill>
              <w14:schemeClr w14:val="tx1"/>
            </w14:solidFill>
          </w14:textFill>
        </w:rPr>
        <w:t>。</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【有效期】</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24</w:t>
      </w:r>
      <w:r>
        <w:rPr>
          <w:rFonts w:hint="eastAsia" w:ascii="Times New Roman" w:hAnsi="Times New Roman" w:eastAsia="宋体" w:cs="Times New Roman"/>
          <w:color w:val="000000" w:themeColor="text1"/>
          <w:sz w:val="21"/>
          <w:szCs w:val="21"/>
          <w14:textFill>
            <w14:solidFill>
              <w14:schemeClr w14:val="tx1"/>
            </w14:solidFill>
          </w14:textFill>
        </w:rPr>
        <w:t>个</w:t>
      </w:r>
      <w:r>
        <w:rPr>
          <w:rFonts w:ascii="Times New Roman" w:hAnsi="Times New Roman" w:eastAsia="宋体" w:cs="Times New Roman"/>
          <w:color w:val="000000" w:themeColor="text1"/>
          <w:sz w:val="21"/>
          <w:szCs w:val="21"/>
          <w14:textFill>
            <w14:solidFill>
              <w14:schemeClr w14:val="tx1"/>
            </w14:solidFill>
          </w14:textFill>
        </w:rPr>
        <w:t>月</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【生产批号】</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r>
        <w:rPr>
          <w:rFonts w:ascii="黑体" w:hAnsi="黑体" w:eastAsia="黑体" w:cs="黑体"/>
          <w:b/>
          <w:bCs/>
          <w:kern w:val="44"/>
          <w:szCs w:val="21"/>
          <w:shd w:val="clear" w:color="auto" w:fill="FFFFFF"/>
        </w:rPr>
        <w:t>妥布霉素滴眼液说明书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妥布霉素滴眼液</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r>
        <w:rPr>
          <w:rFonts w:hint="eastAsia" w:ascii="Times New Roman" w:hAnsi="Times New Roman" w:eastAsia="宋体" w:cs="Times New Roman"/>
          <w:bCs/>
          <w:kern w:val="0"/>
          <w:szCs w:val="21"/>
        </w:rPr>
        <w:t>Tobramycin Eye Drops</w:t>
      </w:r>
    </w:p>
    <w:p>
      <w:pPr>
        <w:widowControl/>
        <w:ind w:left="1260" w:leftChars="200" w:right="150" w:hanging="840" w:hangingChars="400"/>
        <w:rPr>
          <w:rFonts w:ascii="宋体" w:hAnsi="宋体" w:eastAsia="宋体" w:cs="宋体"/>
          <w:color w:val="666666"/>
          <w:kern w:val="0"/>
          <w:sz w:val="28"/>
          <w:szCs w:val="28"/>
        </w:rPr>
      </w:pPr>
      <w:r>
        <w:rPr>
          <w:rFonts w:ascii="Times New Roman" w:hAnsi="Times New Roman" w:eastAsia="宋体" w:cs="Times New Roman"/>
          <w:bCs/>
          <w:szCs w:val="21"/>
        </w:rPr>
        <w:t>汉语拼音</w:t>
      </w:r>
      <w:r>
        <w:rPr>
          <w:rFonts w:ascii="Times New Roman" w:hAnsi="Times New Roman" w:eastAsia="宋体" w:cs="Times New Roman"/>
          <w:bCs/>
          <w:kern w:val="0"/>
          <w:sz w:val="24"/>
          <w:szCs w:val="21"/>
        </w:rPr>
        <w:t>：</w:t>
      </w:r>
      <w:r>
        <w:rPr>
          <w:rFonts w:hint="eastAsia" w:ascii="Times New Roman" w:hAnsi="Times New Roman" w:eastAsia="宋体" w:cs="Times New Roman"/>
          <w:bCs/>
          <w:kern w:val="0"/>
          <w:szCs w:val="21"/>
        </w:rPr>
        <w:t>Tuobumeisu Diyanye</w:t>
      </w:r>
    </w:p>
    <w:p>
      <w:pPr>
        <w:widowControl/>
        <w:ind w:right="150"/>
        <w:rPr>
          <w:rFonts w:ascii="宋体" w:hAnsi="宋体" w:eastAsia="宋体" w:cs="宋体"/>
          <w:kern w:val="0"/>
          <w:sz w:val="28"/>
          <w:szCs w:val="28"/>
        </w:rPr>
      </w:pPr>
      <w:r>
        <w:rPr>
          <w:rFonts w:ascii="黑体" w:hAnsi="黑体" w:eastAsia="黑体" w:cs="Times New Roman"/>
          <w:b/>
          <w:bCs/>
          <w:kern w:val="0"/>
          <w:szCs w:val="21"/>
        </w:rPr>
        <w:t>【主要成分】</w:t>
      </w:r>
      <w:r>
        <w:rPr>
          <w:rFonts w:hint="eastAsia" w:ascii="Times New Roman" w:hAnsi="Times New Roman" w:eastAsia="宋体" w:cs="Times New Roman"/>
          <w:bCs/>
          <w:szCs w:val="21"/>
        </w:rPr>
        <w:t>妥布霉素</w:t>
      </w:r>
    </w:p>
    <w:p>
      <w:pPr>
        <w:widowControl/>
        <w:ind w:right="150"/>
        <w:rPr>
          <w:rFonts w:ascii="宋体" w:hAnsi="宋体" w:eastAsia="宋体" w:cs="宋体"/>
          <w:kern w:val="0"/>
          <w:sz w:val="28"/>
          <w:szCs w:val="28"/>
        </w:rPr>
      </w:pPr>
      <w:r>
        <w:rPr>
          <w:rFonts w:hint="eastAsia" w:ascii="黑体" w:hAnsi="黑体" w:eastAsia="黑体" w:cs="Times New Roman"/>
          <w:b/>
          <w:bCs/>
          <w:kern w:val="0"/>
          <w:szCs w:val="21"/>
        </w:rPr>
        <w:t>【性状】</w:t>
      </w:r>
      <w:r>
        <w:rPr>
          <w:rFonts w:hint="eastAsia" w:ascii="Times New Roman" w:hAnsi="Times New Roman" w:eastAsia="宋体" w:cs="Times New Roman"/>
          <w:bCs/>
          <w:szCs w:val="21"/>
        </w:rPr>
        <w:t>本品为无色或几乎无色的澄明溶液。</w:t>
      </w:r>
    </w:p>
    <w:p>
      <w:pPr>
        <w:widowControl/>
        <w:shd w:val="clear" w:color="auto" w:fill="FFFFFF"/>
        <w:ind w:right="150"/>
        <w:rPr>
          <w:rFonts w:ascii="黑体" w:hAnsi="黑体" w:eastAsia="黑体" w:cs="Times New Roman"/>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bCs/>
          <w:szCs w:val="21"/>
        </w:rPr>
        <w:t>妥布霉素是水溶性氨基糖甙类抗生素，具有广谱抗革兰氏阴性和阳性菌的活性。体外实验显示本药对下列菌种有特殊疗效：葡萄球菌如金黄色葡萄球菌、表皮葡萄球菌及对青霉素耐药的菌种。链球菌如A组β-溶血性链球菌、非溶血性链球菌及肺炎链球菌。绿脓杆菌、大肠杆菌、肺炎杆菌、产气大肠杆菌、奇异变形杆菌(吲哚阴性)与吲哚阳性变形杆菌、流感嗜血杆菌与结膜炎嗜血杆菌、结膜炎摩拉克菌、奈瑟菌属。细菌敏感性实验显示，对庆大霉素耐药的菌属，对本药仍敏感，目前尚未发现对妥布霉素有耐药性的菌属，但长期使用可能会产生细菌的耐药性。</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【适应症】</w:t>
      </w:r>
      <w:r>
        <w:rPr>
          <w:rFonts w:hint="eastAsia" w:ascii="Times New Roman" w:hAnsi="Times New Roman" w:eastAsia="宋体" w:cs="Times New Roman"/>
          <w:bCs/>
          <w:szCs w:val="21"/>
        </w:rPr>
        <w:t>本品适用于外眼及附属器敏感菌株感染的局部抗感染治疗。应用妥布霉素时，应注意观察细菌感染的控制情况。</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【用法用量】</w:t>
      </w:r>
      <w:r>
        <w:rPr>
          <w:rFonts w:hint="eastAsia" w:ascii="Times New Roman" w:hAnsi="Times New Roman" w:eastAsia="宋体" w:cs="Times New Roman"/>
          <w:bCs/>
          <w:szCs w:val="21"/>
        </w:rPr>
        <w:t>1.轻度及中度患病动物，每4小时一次，每次1-2滴点入患眼；重度感染的患病动物，每小时一次，每次2滴。病情缓解后减量使用，直至病情痊愈。</w:t>
      </w:r>
    </w:p>
    <w:p>
      <w:pPr>
        <w:widowControl/>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2.妥布霉素滴眼液可与眼膏合用，即白天使用滴眼液，晚上使用眼膏。</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【不良反应】</w:t>
      </w:r>
      <w:r>
        <w:rPr>
          <w:rFonts w:hint="eastAsia" w:ascii="Times New Roman" w:hAnsi="Times New Roman" w:eastAsia="宋体" w:cs="Times New Roman"/>
          <w:bCs/>
          <w:szCs w:val="21"/>
        </w:rPr>
        <w:t>常见的不良反应为眼局部的毒副作用与过敏反应，如眼睑发痒与红肿、结膜红斑，发生率低于3%；局部应用其他氨基糖甙类抗生素也会出现这些不良反应。但是如果将眼用托百士合并氨基糖甙类抗生素全身用药，就应注意观测血清中总的药物浓度。</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【禁忌】</w:t>
      </w:r>
      <w:r>
        <w:rPr>
          <w:rFonts w:hint="eastAsia" w:ascii="Times New Roman" w:hAnsi="Times New Roman" w:eastAsia="宋体" w:cs="Times New Roman"/>
          <w:bCs/>
          <w:szCs w:val="21"/>
        </w:rPr>
        <w:t>对本品及其他氨基糖苷类抗生素过敏者禁用。</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【注意事项】</w:t>
      </w:r>
      <w:r>
        <w:rPr>
          <w:rFonts w:hint="eastAsia" w:ascii="Times New Roman" w:hAnsi="Times New Roman" w:eastAsia="宋体" w:cs="Times New Roman"/>
          <w:bCs/>
          <w:szCs w:val="21"/>
        </w:rPr>
        <w:t>1.不能用于眼内注射。局部用氨基糖甙类抗生素可能会产生过敏反应。如果出现过敏,应停止用药。</w:t>
      </w:r>
    </w:p>
    <w:p>
      <w:pPr>
        <w:widowControl/>
        <w:ind w:right="150" w:firstLine="420" w:firstLineChars="200"/>
        <w:rPr>
          <w:rFonts w:ascii="宋体" w:hAnsi="宋体" w:eastAsia="宋体" w:cs="宋体"/>
          <w:color w:val="666666"/>
          <w:kern w:val="0"/>
          <w:sz w:val="28"/>
          <w:szCs w:val="28"/>
        </w:rPr>
      </w:pPr>
      <w:r>
        <w:rPr>
          <w:rFonts w:hint="eastAsia" w:ascii="Times New Roman" w:hAnsi="Times New Roman" w:eastAsia="宋体" w:cs="Times New Roman"/>
          <w:bCs/>
          <w:szCs w:val="21"/>
        </w:rPr>
        <w:t>2.与其他抗生素一样,长期应用将导致非敏感菌株的过度生长,甚至引起真菌感染。如果出现二重感染,应及时给予适当的治疗。眼药膏可能会延缓角膜损伤愈合。请仔细阅读说明书并遵医嘱使用。</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【规格】</w:t>
      </w:r>
      <w:r>
        <w:rPr>
          <w:rFonts w:hint="eastAsia" w:ascii="Times New Roman" w:hAnsi="Times New Roman" w:eastAsia="宋体" w:cs="Times New Roman"/>
          <w:bCs/>
          <w:szCs w:val="21"/>
        </w:rPr>
        <w:t>0.3%</w:t>
      </w:r>
    </w:p>
    <w:p>
      <w:pPr>
        <w:widowControl/>
        <w:ind w:right="150"/>
        <w:rPr>
          <w:rFonts w:ascii="黑体" w:hAnsi="黑体" w:eastAsia="黑体" w:cs="Times New Roman"/>
          <w:b/>
          <w:bCs/>
          <w:kern w:val="0"/>
          <w:szCs w:val="21"/>
        </w:rPr>
      </w:pPr>
      <w:r>
        <w:rPr>
          <w:rFonts w:hint="eastAsia" w:ascii="黑体" w:hAnsi="黑体" w:eastAsia="黑体" w:cs="Times New Roman"/>
          <w:b/>
          <w:bCs/>
          <w:kern w:val="0"/>
          <w:szCs w:val="21"/>
        </w:rPr>
        <w:t>【包装】</w:t>
      </w:r>
    </w:p>
    <w:p>
      <w:pPr>
        <w:widowControl/>
        <w:ind w:right="150"/>
        <w:rPr>
          <w:rFonts w:ascii="宋体" w:hAnsi="宋体" w:eastAsia="宋体" w:cs="宋体"/>
          <w:kern w:val="0"/>
          <w:sz w:val="28"/>
          <w:szCs w:val="28"/>
        </w:rPr>
      </w:pPr>
      <w:r>
        <w:rPr>
          <w:rFonts w:hint="eastAsia" w:ascii="黑体" w:hAnsi="黑体" w:eastAsia="黑体" w:cs="Times New Roman"/>
          <w:b/>
          <w:bCs/>
          <w:kern w:val="0"/>
          <w:szCs w:val="21"/>
        </w:rPr>
        <w:t>【贮藏】</w:t>
      </w:r>
      <w:r>
        <w:rPr>
          <w:rFonts w:hint="eastAsia" w:ascii="Times New Roman" w:hAnsi="Times New Roman" w:eastAsia="宋体" w:cs="Times New Roman"/>
          <w:bCs/>
          <w:szCs w:val="21"/>
        </w:rPr>
        <w:t>8-30</w:t>
      </w:r>
      <w:r>
        <w:rPr>
          <w:rFonts w:hint="eastAsia" w:ascii="宋体" w:hAnsi="宋体" w:eastAsia="宋体" w:cs="宋体"/>
          <w:bCs/>
          <w:szCs w:val="21"/>
        </w:rPr>
        <w:t>℃</w:t>
      </w:r>
      <w:r>
        <w:rPr>
          <w:rFonts w:hint="eastAsia" w:ascii="Times New Roman" w:hAnsi="Times New Roman" w:eastAsia="宋体" w:cs="Times New Roman"/>
          <w:bCs/>
          <w:szCs w:val="21"/>
        </w:rPr>
        <w:t>保存</w:t>
      </w:r>
    </w:p>
    <w:p>
      <w:pPr>
        <w:widowControl/>
        <w:ind w:right="150"/>
        <w:rPr>
          <w:rFonts w:ascii="Times New Roman" w:hAnsi="Times New Roman" w:eastAsia="宋体" w:cs="Times New Roman"/>
          <w:bCs/>
          <w:szCs w:val="21"/>
        </w:rPr>
      </w:pPr>
      <w:r>
        <w:rPr>
          <w:rFonts w:hint="eastAsia" w:ascii="黑体" w:hAnsi="黑体" w:eastAsia="黑体" w:cs="Times New Roman"/>
          <w:b/>
          <w:bCs/>
          <w:kern w:val="0"/>
          <w:szCs w:val="21"/>
        </w:rPr>
        <w:t>【有效期】</w:t>
      </w:r>
      <w:r>
        <w:rPr>
          <w:rFonts w:hint="eastAsia" w:ascii="Times New Roman" w:hAnsi="Times New Roman" w:eastAsia="宋体" w:cs="Times New Roman"/>
          <w:bCs/>
          <w:szCs w:val="21"/>
        </w:rPr>
        <w:t>36月</w:t>
      </w:r>
    </w:p>
    <w:p>
      <w:pPr>
        <w:adjustRightInd w:val="0"/>
        <w:snapToGrid w:val="0"/>
        <w:spacing w:line="276" w:lineRule="auto"/>
        <w:ind w:right="-946"/>
        <w:rPr>
          <w:rFonts w:ascii="黑体" w:hAnsi="黑体" w:eastAsia="黑体" w:cs="Times New Roman"/>
          <w:kern w:val="0"/>
          <w:szCs w:val="21"/>
        </w:rPr>
      </w:pPr>
      <w:r>
        <w:rPr>
          <w:rFonts w:ascii="黑体" w:hAnsi="黑体" w:eastAsia="黑体" w:cs="Times New Roman"/>
          <w:b/>
          <w:bCs/>
          <w:kern w:val="0"/>
          <w:szCs w:val="21"/>
        </w:rPr>
        <w:t>【批准文号】</w:t>
      </w:r>
      <w:r>
        <w:rPr>
          <w:rFonts w:ascii="黑体" w:hAnsi="黑体" w:eastAsia="黑体" w:cs="Times New Roman"/>
          <w:kern w:val="0"/>
          <w:szCs w:val="21"/>
        </w:rPr>
        <w:t xml:space="preserve"> </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shd w:val="clear" w:color="auto" w:fill="FFFFFF"/>
          <w14:textFill>
            <w14:solidFill>
              <w14:schemeClr w14:val="tx1"/>
            </w14:solidFill>
          </w14:textFill>
        </w:rPr>
      </w:pPr>
    </w:p>
    <w:p>
      <w:pPr>
        <w:pStyle w:val="2"/>
        <w:widowControl/>
        <w:shd w:val="clear" w:color="auto" w:fill="FFFFFF"/>
        <w:adjustRightInd w:val="0"/>
        <w:snapToGrid w:val="0"/>
        <w:spacing w:beforeAutospacing="0" w:afterAutospacing="0" w:line="276" w:lineRule="auto"/>
        <w:jc w:val="center"/>
        <w:rPr>
          <w:rFonts w:hint="default" w:ascii="Times New Roman" w:hAnsi="Times New Roman"/>
          <w:color w:val="000000" w:themeColor="text1"/>
          <w:sz w:val="21"/>
          <w:szCs w:val="21"/>
          <w14:textFill>
            <w14:solidFill>
              <w14:schemeClr w14:val="tx1"/>
            </w14:solidFill>
          </w14:textFill>
        </w:rPr>
      </w:pPr>
      <w:r>
        <w:rPr>
          <w:rFonts w:hint="default" w:ascii="Times New Roman" w:hAnsi="Times New Roman"/>
          <w:color w:val="000000" w:themeColor="text1"/>
          <w:sz w:val="21"/>
          <w:szCs w:val="21"/>
          <w:shd w:val="clear" w:color="auto" w:fill="FFFFFF"/>
          <w14:textFill>
            <w14:solidFill>
              <w14:schemeClr w14:val="tx1"/>
            </w14:solidFill>
          </w14:textFill>
        </w:rPr>
        <w:t>环孢素滴眼液</w:t>
      </w:r>
      <w:r>
        <w:rPr>
          <w:rFonts w:ascii="Times New Roman" w:hAnsi="Times New Roman"/>
          <w:color w:val="000000" w:themeColor="text1"/>
          <w:sz w:val="21"/>
          <w:szCs w:val="21"/>
          <w:shd w:val="clear" w:color="auto" w:fill="FFFFFF"/>
          <w14:textFill>
            <w14:solidFill>
              <w14:schemeClr w14:val="tx1"/>
            </w14:solidFill>
          </w14:textFill>
        </w:rPr>
        <w:t>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兽药</w:t>
      </w:r>
      <w:r>
        <w:rPr>
          <w:rFonts w:ascii="黑体" w:hAnsi="黑体" w:eastAsia="黑体" w:cs="Times New Roman"/>
          <w:b/>
          <w:bCs/>
          <w:kern w:val="0"/>
          <w:szCs w:val="21"/>
        </w:rPr>
        <w:t>名称】</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通用名称：环孢素滴眼液</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商品名称：</w:t>
      </w:r>
    </w:p>
    <w:p>
      <w:pPr>
        <w:pStyle w:val="7"/>
        <w:widowControl/>
        <w:adjustRightInd w:val="0"/>
        <w:snapToGrid w:val="0"/>
        <w:spacing w:line="276" w:lineRule="auto"/>
        <w:ind w:left="420" w:leftChars="200" w:right="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英文名称：</w:t>
      </w:r>
      <w:bookmarkStart w:id="5" w:name="OLE_LINK6"/>
      <w:r>
        <w:rPr>
          <w:rFonts w:ascii="Times New Roman" w:hAnsi="Times New Roman" w:eastAsia="宋体" w:cs="Times New Roman"/>
          <w:color w:val="000000" w:themeColor="text1"/>
          <w:sz w:val="21"/>
          <w:szCs w:val="21"/>
          <w14:textFill>
            <w14:solidFill>
              <w14:schemeClr w14:val="tx1"/>
            </w14:solidFill>
          </w14:textFill>
        </w:rPr>
        <w:t>Cyclosporin</w:t>
      </w:r>
      <w:bookmarkEnd w:id="5"/>
      <w:r>
        <w:rPr>
          <w:rFonts w:ascii="Times New Roman" w:hAnsi="Times New Roman" w:eastAsia="宋体" w:cs="Times New Roman"/>
          <w:color w:val="000000" w:themeColor="text1"/>
          <w:sz w:val="21"/>
          <w:szCs w:val="21"/>
          <w14:textFill>
            <w14:solidFill>
              <w14:schemeClr w14:val="tx1"/>
            </w14:solidFill>
          </w14:textFill>
        </w:rPr>
        <w:t xml:space="preserve"> Eye Drops</w:t>
      </w:r>
      <w:r>
        <w:rPr>
          <w:rFonts w:ascii="Times New Roman" w:hAnsi="Times New Roman" w:eastAsia="宋体" w:cs="Times New Roman"/>
          <w:color w:val="000000" w:themeColor="text1"/>
          <w:sz w:val="21"/>
          <w:szCs w:val="21"/>
          <w14:textFill>
            <w14:solidFill>
              <w14:schemeClr w14:val="tx1"/>
            </w14:solidFill>
          </w14:textFill>
        </w:rPr>
        <w:br w:type="textWrapping"/>
      </w:r>
      <w:r>
        <w:rPr>
          <w:rFonts w:ascii="Times New Roman" w:hAnsi="Times New Roman" w:eastAsia="宋体" w:cs="Times New Roman"/>
          <w:color w:val="000000" w:themeColor="text1"/>
          <w:sz w:val="21"/>
          <w:szCs w:val="21"/>
          <w14:textFill>
            <w14:solidFill>
              <w14:schemeClr w14:val="tx1"/>
            </w14:solidFill>
          </w14:textFill>
        </w:rPr>
        <w:t>汉语拼音：Huanbaosu Diyanye</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w:t>
      </w:r>
      <w:r>
        <w:rPr>
          <w:rFonts w:hint="eastAsia" w:ascii="黑体" w:hAnsi="黑体" w:eastAsia="黑体" w:cs="Times New Roman"/>
          <w:b/>
          <w:bCs/>
          <w:kern w:val="0"/>
          <w:sz w:val="21"/>
          <w:szCs w:val="21"/>
        </w:rPr>
        <w:t>主要</w:t>
      </w:r>
      <w:r>
        <w:rPr>
          <w:rFonts w:ascii="黑体" w:hAnsi="黑体" w:eastAsia="黑体" w:cs="Times New Roman"/>
          <w:b/>
          <w:bCs/>
          <w:kern w:val="0"/>
          <w:sz w:val="21"/>
          <w:szCs w:val="21"/>
        </w:rPr>
        <w:t>成</w:t>
      </w:r>
      <w:r>
        <w:rPr>
          <w:rFonts w:hint="eastAsia" w:ascii="黑体" w:hAnsi="黑体" w:eastAsia="黑体" w:cs="Times New Roman"/>
          <w:b/>
          <w:bCs/>
          <w:kern w:val="0"/>
          <w:sz w:val="21"/>
          <w:szCs w:val="21"/>
        </w:rPr>
        <w:t>分</w:t>
      </w:r>
      <w:r>
        <w:rPr>
          <w:rFonts w:ascii="黑体" w:hAnsi="黑体" w:eastAsia="黑体" w:cs="Times New Roman"/>
          <w:b/>
          <w:bCs/>
          <w:kern w:val="0"/>
          <w:sz w:val="21"/>
          <w:szCs w:val="21"/>
        </w:rPr>
        <w:t>】</w:t>
      </w:r>
      <w:r>
        <w:rPr>
          <w:rFonts w:hint="eastAsia" w:ascii="黑体" w:hAnsi="黑体" w:eastAsia="黑体" w:cs="Times New Roman"/>
          <w:b/>
          <w:bCs/>
          <w:kern w:val="0"/>
          <w:sz w:val="21"/>
          <w:szCs w:val="21"/>
        </w:rPr>
        <w:t xml:space="preserve"> </w:t>
      </w:r>
      <w:r>
        <w:rPr>
          <w:rFonts w:ascii="Times New Roman" w:hAnsi="Times New Roman" w:eastAsia="宋体" w:cs="Times New Roman"/>
          <w:color w:val="000000" w:themeColor="text1"/>
          <w:sz w:val="21"/>
          <w:szCs w:val="21"/>
          <w14:textFill>
            <w14:solidFill>
              <w14:schemeClr w14:val="tx1"/>
            </w14:solidFill>
          </w14:textFill>
        </w:rPr>
        <w:t>环孢素</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【性状】</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本品为淡黄色的澄明油状液体</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【药理作用】</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尚不明确。</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【药物相互作用】</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如与其他药物同时使用可能会发生药物相互作用，详情请咨询</w:t>
      </w:r>
      <w:r>
        <w:rPr>
          <w:rFonts w:hint="eastAsia" w:ascii="Times New Roman" w:hAnsi="Times New Roman" w:eastAsia="宋体" w:cs="Times New Roman"/>
          <w:color w:val="000000" w:themeColor="text1"/>
          <w:sz w:val="21"/>
          <w:szCs w:val="21"/>
          <w14:textFill>
            <w14:solidFill>
              <w14:schemeClr w14:val="tx1"/>
            </w14:solidFill>
          </w14:textFill>
        </w:rPr>
        <w:t>兽</w:t>
      </w:r>
      <w:r>
        <w:rPr>
          <w:rFonts w:ascii="Times New Roman" w:hAnsi="Times New Roman" w:eastAsia="宋体" w:cs="Times New Roman"/>
          <w:color w:val="000000" w:themeColor="text1"/>
          <w:sz w:val="21"/>
          <w:szCs w:val="21"/>
          <w14:textFill>
            <w14:solidFill>
              <w14:schemeClr w14:val="tx1"/>
            </w14:solidFill>
          </w14:textFill>
        </w:rPr>
        <w:t>医。</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w:t>
      </w:r>
      <w:r>
        <w:rPr>
          <w:rFonts w:hint="eastAsia" w:ascii="黑体" w:hAnsi="黑体" w:eastAsia="黑体" w:cs="Times New Roman"/>
          <w:b/>
          <w:bCs/>
          <w:kern w:val="0"/>
          <w:sz w:val="21"/>
          <w:szCs w:val="21"/>
        </w:rPr>
        <w:t>作用与用途</w:t>
      </w:r>
      <w:r>
        <w:rPr>
          <w:rFonts w:ascii="黑体" w:hAnsi="黑体" w:eastAsia="黑体" w:cs="Times New Roman"/>
          <w:b/>
          <w:bCs/>
          <w:kern w:val="0"/>
          <w:sz w:val="21"/>
          <w:szCs w:val="21"/>
        </w:rPr>
        <w:t>】</w:t>
      </w:r>
      <w:r>
        <w:rPr>
          <w:rFonts w:hint="eastAsia" w:ascii="黑体" w:hAnsi="黑体" w:eastAsia="黑体" w:cs="Times New Roman"/>
          <w:color w:val="000000" w:themeColor="text1"/>
          <w:sz w:val="21"/>
          <w:szCs w:val="21"/>
          <w14:textFill>
            <w14:solidFill>
              <w14:schemeClr w14:val="tx1"/>
            </w14:solidFill>
          </w14:textFill>
        </w:rPr>
        <w:t xml:space="preserve"> </w:t>
      </w:r>
      <w:r>
        <w:rPr>
          <w:rFonts w:hint="eastAsia" w:ascii="宋体" w:hAnsi="宋体" w:eastAsia="宋体" w:cs="Times New Roman"/>
          <w:color w:val="000000" w:themeColor="text1"/>
          <w:sz w:val="21"/>
          <w:szCs w:val="21"/>
          <w14:textFill>
            <w14:solidFill>
              <w14:schemeClr w14:val="tx1"/>
            </w14:solidFill>
          </w14:textFill>
        </w:rPr>
        <w:t>免疫抑制剂。</w:t>
      </w:r>
      <w:r>
        <w:rPr>
          <w:rFonts w:ascii="Times New Roman" w:hAnsi="Times New Roman" w:eastAsia="宋体" w:cs="Times New Roman"/>
          <w:color w:val="000000" w:themeColor="text1"/>
          <w:sz w:val="21"/>
          <w:szCs w:val="21"/>
          <w14:textFill>
            <w14:solidFill>
              <w14:schemeClr w14:val="tx1"/>
            </w14:solidFill>
          </w14:textFill>
        </w:rPr>
        <w:t>用于预防和治疗犬干燥性角膜结膜炎、浅表性角膜炎等；猫嗜酸性角膜结膜炎；马的免疫介导性角膜炎和反复发作的葡萄膜炎。</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【用法</w:t>
      </w:r>
      <w:r>
        <w:rPr>
          <w:rFonts w:hint="eastAsia" w:ascii="黑体" w:hAnsi="黑体" w:eastAsia="黑体" w:cs="Times New Roman"/>
          <w:b/>
          <w:bCs/>
          <w:kern w:val="0"/>
          <w:sz w:val="21"/>
          <w:szCs w:val="21"/>
        </w:rPr>
        <w:t>与</w:t>
      </w:r>
      <w:r>
        <w:rPr>
          <w:rFonts w:ascii="黑体" w:hAnsi="黑体" w:eastAsia="黑体" w:cs="Times New Roman"/>
          <w:b/>
          <w:bCs/>
          <w:kern w:val="0"/>
          <w:sz w:val="21"/>
          <w:szCs w:val="21"/>
        </w:rPr>
        <w:t>用量】</w:t>
      </w:r>
      <w:r>
        <w:rPr>
          <w:rFonts w:hint="eastAsia" w:ascii="宋体" w:hAnsi="宋体" w:eastAsia="宋体" w:cs="Times New Roman"/>
          <w:color w:val="000000" w:themeColor="text1"/>
          <w:sz w:val="21"/>
          <w:szCs w:val="21"/>
          <w14:textFill>
            <w14:solidFill>
              <w14:schemeClr w14:val="tx1"/>
            </w14:solidFill>
          </w14:textFill>
        </w:rPr>
        <w:t xml:space="preserve"> 眼部外用。</w:t>
      </w:r>
      <w:r>
        <w:rPr>
          <w:rFonts w:ascii="Times New Roman" w:hAnsi="Times New Roman" w:eastAsia="宋体" w:cs="Times New Roman"/>
          <w:color w:val="000000" w:themeColor="text1"/>
          <w:sz w:val="21"/>
          <w:szCs w:val="21"/>
          <w14:textFill>
            <w14:solidFill>
              <w14:schemeClr w14:val="tx1"/>
            </w14:solidFill>
          </w14:textFill>
        </w:rPr>
        <w:t>犬：每日</w:t>
      </w:r>
      <w:bookmarkStart w:id="6" w:name="OLE_LINK7"/>
      <w:r>
        <w:rPr>
          <w:rFonts w:ascii="Times New Roman" w:hAnsi="Times New Roman" w:eastAsia="宋体" w:cs="Times New Roman"/>
          <w:color w:val="000000" w:themeColor="text1"/>
          <w:sz w:val="21"/>
          <w:szCs w:val="21"/>
          <w14:textFill>
            <w14:solidFill>
              <w14:schemeClr w14:val="tx1"/>
            </w14:solidFill>
          </w14:textFill>
        </w:rPr>
        <w:t>2</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3次，每次1</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2滴</w:t>
      </w:r>
      <w:bookmarkEnd w:id="6"/>
      <w:r>
        <w:rPr>
          <w:rFonts w:ascii="Times New Roman" w:hAnsi="Times New Roman" w:eastAsia="宋体" w:cs="Times New Roman"/>
          <w:color w:val="000000" w:themeColor="text1"/>
          <w:sz w:val="21"/>
          <w:szCs w:val="21"/>
          <w14:textFill>
            <w14:solidFill>
              <w14:schemeClr w14:val="tx1"/>
            </w14:solidFill>
          </w14:textFill>
        </w:rPr>
        <w:t>。猫（嗜酸性角膜结膜炎）：每日2</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3次，每次1</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2滴。</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【不良反应】</w:t>
      </w:r>
      <w:r>
        <w:rPr>
          <w:rFonts w:hint="eastAsia" w:ascii="黑体" w:hAnsi="黑体" w:eastAsia="黑体" w:cs="Times New Roman"/>
          <w:b/>
          <w:bCs/>
          <w:kern w:val="0"/>
          <w:sz w:val="21"/>
          <w:szCs w:val="21"/>
        </w:rPr>
        <w:t xml:space="preserve"> </w:t>
      </w:r>
      <w:r>
        <w:rPr>
          <w:rFonts w:ascii="Times New Roman" w:hAnsi="Times New Roman" w:eastAsia="宋体" w:cs="Times New Roman"/>
          <w:color w:val="000000" w:themeColor="text1"/>
          <w:sz w:val="21"/>
          <w:szCs w:val="21"/>
          <w14:textFill>
            <w14:solidFill>
              <w14:schemeClr w14:val="tx1"/>
            </w14:solidFill>
          </w14:textFill>
        </w:rPr>
        <w:t>包括眼部</w:t>
      </w:r>
      <w:r>
        <w:rPr>
          <w:rFonts w:hint="eastAsia" w:ascii="Times New Roman" w:hAnsi="Times New Roman" w:eastAsia="宋体" w:cs="Times New Roman"/>
          <w:color w:val="000000" w:themeColor="text1"/>
          <w:sz w:val="21"/>
          <w:szCs w:val="21"/>
          <w14:textFill>
            <w14:solidFill>
              <w14:schemeClr w14:val="tx1"/>
            </w14:solidFill>
          </w14:textFill>
        </w:rPr>
        <w:t>或</w:t>
      </w:r>
      <w:r>
        <w:rPr>
          <w:rFonts w:ascii="Times New Roman" w:hAnsi="Times New Roman" w:eastAsia="宋体" w:cs="Times New Roman"/>
          <w:color w:val="000000" w:themeColor="text1"/>
          <w:sz w:val="21"/>
          <w:szCs w:val="21"/>
          <w14:textFill>
            <w14:solidFill>
              <w14:schemeClr w14:val="tx1"/>
            </w14:solidFill>
          </w14:textFill>
        </w:rPr>
        <w:t>眼周炎症反应、充血、泪溢、脱毛、局部刺激和眼睑痉挛。</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【注意事项】</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1.本品不具有抗感染功效，若发生感染，应立即用抗生素治疗。</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2.与糖皮质激素联合应用时请注意逐渐调整糖皮质激素的给药剂量。 </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.眼部真菌性感染的患病动物</w:t>
      </w:r>
      <w:r>
        <w:rPr>
          <w:rFonts w:hint="eastAsia" w:ascii="Times New Roman" w:hAnsi="Times New Roman" w:eastAsia="宋体" w:cs="Times New Roman"/>
          <w:color w:val="000000" w:themeColor="text1"/>
          <w:sz w:val="21"/>
          <w:szCs w:val="21"/>
          <w14:textFill>
            <w14:solidFill>
              <w14:schemeClr w14:val="tx1"/>
            </w14:solidFill>
          </w14:textFill>
        </w:rPr>
        <w:t>不得使用。</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14:textFill>
            <w14:solidFill>
              <w14:schemeClr w14:val="tx1"/>
            </w14:solidFill>
          </w14:textFill>
        </w:rPr>
        <w:t>.对环孢素过敏者、对滴眼液中其他成份过敏者</w:t>
      </w:r>
      <w:r>
        <w:rPr>
          <w:rFonts w:hint="eastAsia" w:ascii="Times New Roman" w:hAnsi="Times New Roman" w:eastAsia="宋体" w:cs="Times New Roman"/>
          <w:color w:val="000000" w:themeColor="text1"/>
          <w:sz w:val="21"/>
          <w:szCs w:val="21"/>
          <w14:textFill>
            <w14:solidFill>
              <w14:schemeClr w14:val="tx1"/>
            </w14:solidFill>
          </w14:textFill>
        </w:rPr>
        <w:t>不得使用。</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5.幼犬、怀孕母犬</w:t>
      </w:r>
      <w:r>
        <w:rPr>
          <w:rFonts w:ascii="Times New Roman" w:hAnsi="Times New Roman" w:eastAsia="宋体" w:cs="Times New Roman"/>
          <w:color w:val="000000" w:themeColor="text1"/>
          <w:sz w:val="21"/>
          <w:szCs w:val="21"/>
          <w:shd w:val="clear" w:color="auto" w:fill="FFFFFF"/>
          <w14:textFill>
            <w14:solidFill>
              <w14:schemeClr w14:val="tx1"/>
            </w14:solidFill>
          </w14:textFill>
        </w:rPr>
        <w:t>或用于繁殖的犬的安全性尚未确定。</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6.给药时佩戴手套或给药后洗手，避免接触皮肤。</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7.本品放置儿童不易拿到的地方。</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8.本品低温贮存时，有凝固倾向，可呈轻微凝固状或有轻微烟雾状或见少量絮状物，如果出现这些情况，使用时将本品放置在室温下（25</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30℃），并轻微振摇直至其消失成溶液状。本品发生凝固状或烟雾状或少量絮状物并不影响药物质量。</w:t>
      </w:r>
    </w:p>
    <w:p>
      <w:pPr>
        <w:pStyle w:val="7"/>
        <w:widowControl/>
        <w:adjustRightInd w:val="0"/>
        <w:snapToGrid w:val="0"/>
        <w:spacing w:line="276" w:lineRule="auto"/>
        <w:ind w:right="150" w:firstLine="420" w:firstLineChars="20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w:t>
      </w:r>
      <w:r>
        <w:rPr>
          <w:rFonts w:ascii="Times New Roman" w:hAnsi="Times New Roman" w:eastAsia="宋体" w:cs="Times New Roman"/>
          <w:color w:val="000000" w:themeColor="text1"/>
          <w:sz w:val="21"/>
          <w:szCs w:val="21"/>
          <w:shd w:val="clear" w:color="auto" w:fill="FFFFFF"/>
          <w14:textFill>
            <w14:solidFill>
              <w14:schemeClr w14:val="tx1"/>
            </w14:solidFill>
          </w14:textFill>
        </w:rPr>
        <w:t>可能需要几天到几周才能发现临床效果。</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【规格】</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3ml</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30mg</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【包装】</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3ml/盒</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【贮藏】</w:t>
      </w:r>
      <w:r>
        <w:rPr>
          <w:rFonts w:hint="eastAsia" w:ascii="黑体" w:hAnsi="黑体" w:eastAsia="黑体" w:cs="Times New Roman"/>
          <w:b/>
          <w:bCs/>
          <w:kern w:val="0"/>
          <w:sz w:val="21"/>
          <w:szCs w:val="21"/>
        </w:rPr>
        <w:t xml:space="preserve"> </w:t>
      </w:r>
      <w:r>
        <w:rPr>
          <w:rFonts w:ascii="Times New Roman" w:hAnsi="Times New Roman" w:eastAsia="宋体" w:cs="Times New Roman"/>
          <w:color w:val="000000" w:themeColor="text1"/>
          <w:sz w:val="21"/>
          <w:szCs w:val="21"/>
          <w14:textFill>
            <w14:solidFill>
              <w14:schemeClr w14:val="tx1"/>
            </w14:solidFill>
          </w14:textFill>
        </w:rPr>
        <w:t>本品应避光密闭2</w:t>
      </w:r>
      <w:r>
        <w:rPr>
          <w:rFonts w:hint="eastAsia" w:ascii="宋体" w:hAnsi="宋体"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8℃存放。</w:t>
      </w:r>
    </w:p>
    <w:p>
      <w:pPr>
        <w:pStyle w:val="7"/>
        <w:widowControl/>
        <w:adjustRightInd w:val="0"/>
        <w:snapToGrid w:val="0"/>
        <w:spacing w:line="276" w:lineRule="auto"/>
        <w:ind w:right="150"/>
        <w:rPr>
          <w:rFonts w:ascii="Times New Roman" w:hAnsi="Times New Roman" w:eastAsia="宋体" w:cs="Times New Roman"/>
          <w:color w:val="000000" w:themeColor="text1"/>
          <w:sz w:val="21"/>
          <w:szCs w:val="21"/>
          <w14:textFill>
            <w14:solidFill>
              <w14:schemeClr w14:val="tx1"/>
            </w14:solidFill>
          </w14:textFill>
        </w:rPr>
      </w:pPr>
      <w:r>
        <w:rPr>
          <w:rFonts w:ascii="黑体" w:hAnsi="黑体" w:eastAsia="黑体" w:cs="Times New Roman"/>
          <w:b/>
          <w:bCs/>
          <w:kern w:val="0"/>
          <w:sz w:val="21"/>
          <w:szCs w:val="21"/>
        </w:rPr>
        <w:t>【有效期】</w:t>
      </w:r>
      <w:r>
        <w:rPr>
          <w:rFonts w:hint="eastAsia" w:ascii="黑体" w:hAnsi="黑体" w:eastAsia="黑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24</w:t>
      </w:r>
      <w:r>
        <w:rPr>
          <w:rFonts w:hint="eastAsia" w:ascii="Times New Roman" w:hAnsi="Times New Roman" w:eastAsia="宋体" w:cs="Times New Roman"/>
          <w:color w:val="000000" w:themeColor="text1"/>
          <w:sz w:val="21"/>
          <w:szCs w:val="21"/>
          <w14:textFill>
            <w14:solidFill>
              <w14:schemeClr w14:val="tx1"/>
            </w14:solidFill>
          </w14:textFill>
        </w:rPr>
        <w:t>个</w:t>
      </w:r>
      <w:r>
        <w:rPr>
          <w:rFonts w:ascii="Times New Roman" w:hAnsi="Times New Roman" w:eastAsia="宋体" w:cs="Times New Roman"/>
          <w:color w:val="000000" w:themeColor="text1"/>
          <w:sz w:val="21"/>
          <w:szCs w:val="21"/>
          <w14:textFill>
            <w14:solidFill>
              <w14:schemeClr w14:val="tx1"/>
            </w14:solidFill>
          </w14:textFill>
        </w:rPr>
        <w:t>月</w:t>
      </w:r>
      <w:r>
        <w:rPr>
          <w:rFonts w:hint="eastAsia"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开启后</w:t>
      </w:r>
      <w:r>
        <w:rPr>
          <w:rFonts w:hint="eastAsia"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14:textFill>
            <w14:solidFill>
              <w14:schemeClr w14:val="tx1"/>
            </w14:solidFill>
          </w14:textFill>
        </w:rPr>
        <w:t>4</w:t>
      </w:r>
      <w:r>
        <w:rPr>
          <w:rFonts w:hint="eastAsia" w:ascii="Times New Roman" w:hAnsi="Times New Roman" w:eastAsia="宋体" w:cs="Times New Roman"/>
          <w:color w:val="000000" w:themeColor="text1"/>
          <w:sz w:val="21"/>
          <w:szCs w:val="21"/>
          <w14:textFill>
            <w14:solidFill>
              <w14:schemeClr w14:val="tx1"/>
            </w14:solidFill>
          </w14:textFill>
        </w:rPr>
        <w:t>日。</w:t>
      </w:r>
    </w:p>
    <w:p>
      <w:pPr>
        <w:tabs>
          <w:tab w:val="left" w:pos="540"/>
        </w:tabs>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【批准文号】</w:t>
      </w:r>
    </w:p>
    <w:p>
      <w:pPr>
        <w:tabs>
          <w:tab w:val="left" w:pos="540"/>
        </w:tabs>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widowControl/>
        <w:adjustRightInd w:val="0"/>
        <w:snapToGrid w:val="0"/>
        <w:spacing w:line="276" w:lineRule="auto"/>
        <w:rPr>
          <w:rFonts w:ascii="Times New Roman" w:hAnsi="Times New Roman" w:eastAsia="宋体" w:cs="Times New Roman"/>
          <w:color w:val="000000" w:themeColor="text1"/>
          <w:szCs w:val="21"/>
          <w14:textFill>
            <w14:solidFill>
              <w14:schemeClr w14:val="tx1"/>
            </w14:solidFill>
          </w14:textFill>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p>
    <w:p>
      <w:pPr>
        <w:jc w:val="center"/>
        <w:rPr>
          <w:rFonts w:ascii="黑体" w:hAnsi="黑体" w:eastAsia="黑体"/>
          <w:b/>
        </w:rPr>
      </w:pPr>
      <w:r>
        <w:rPr>
          <w:rFonts w:hint="eastAsia" w:ascii="黑体" w:hAnsi="黑体" w:eastAsia="黑体"/>
          <w:b/>
        </w:rPr>
        <w:t>拉坦前列素滴眼液说明书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【兽药名称】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通用名称：拉坦前列素滴眼液</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商品名称：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英文名称：</w:t>
      </w:r>
      <w:r>
        <w:rPr>
          <w:rFonts w:ascii="Times New Roman" w:hAnsi="Times New Roman" w:eastAsia="宋体" w:cs="Times New Roman"/>
          <w:color w:val="000000" w:themeColor="text1"/>
          <w:szCs w:val="22"/>
          <w14:textFill>
            <w14:solidFill>
              <w14:schemeClr w14:val="tx1"/>
            </w14:solidFill>
          </w14:textFill>
        </w:rPr>
        <w:t>Latanoprost Eye Drops</w:t>
      </w:r>
    </w:p>
    <w:p>
      <w:pPr>
        <w:adjustRightInd w:val="0"/>
        <w:snapToGrid w:val="0"/>
        <w:spacing w:line="276" w:lineRule="auto"/>
        <w:ind w:firstLine="420" w:firstLineChars="200"/>
        <w:rPr>
          <w:rFonts w:ascii="Times New Roman" w:hAnsi="Times New Roman"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汉语拼音：</w:t>
      </w:r>
      <w:r>
        <w:rPr>
          <w:rFonts w:ascii="Times New Roman" w:hAnsi="Times New Roman" w:eastAsia="宋体" w:cs="Times New Roman"/>
          <w:color w:val="000000" w:themeColor="text1"/>
          <w:szCs w:val="22"/>
          <w14:textFill>
            <w14:solidFill>
              <w14:schemeClr w14:val="tx1"/>
            </w14:solidFill>
          </w14:textFill>
        </w:rPr>
        <w:t>Latanqianliesu Diyanye</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【主要成分】</w:t>
      </w:r>
      <w:r>
        <w:rPr>
          <w:rFonts w:hint="eastAsia" w:ascii="黑体" w:hAnsi="黑体" w:eastAsia="黑体" w:cs="Times New Roman"/>
          <w:szCs w:val="22"/>
        </w:rPr>
        <w:t xml:space="preserve"> </w:t>
      </w:r>
      <w:r>
        <w:rPr>
          <w:rFonts w:hint="eastAsia" w:ascii="宋体" w:hAnsi="宋体" w:eastAsia="宋体" w:cs="Times New Roman"/>
          <w:szCs w:val="22"/>
        </w:rPr>
        <w:t>拉坦前列素</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【性状】</w:t>
      </w:r>
      <w:r>
        <w:rPr>
          <w:rFonts w:ascii="黑体" w:hAnsi="黑体" w:eastAsia="黑体" w:cs="Times New Roman"/>
          <w:b/>
          <w:bCs/>
          <w:kern w:val="0"/>
          <w:szCs w:val="21"/>
        </w:rPr>
        <w:t xml:space="preserve"> </w:t>
      </w:r>
      <w:r>
        <w:rPr>
          <w:rFonts w:hint="eastAsia" w:ascii="宋体" w:hAnsi="宋体" w:eastAsia="宋体" w:cs="Times New Roman"/>
          <w:szCs w:val="22"/>
        </w:rPr>
        <w:t>本品为无色澄明液体</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【药理作用】</w:t>
      </w:r>
      <w:r>
        <w:rPr>
          <w:rFonts w:hint="eastAsia" w:ascii="宋体" w:hAnsi="宋体" w:eastAsia="宋体" w:cs="Times New Roman"/>
          <w:szCs w:val="22"/>
        </w:rPr>
        <w:t xml:space="preserve"> 拉坦前列素为前列腺素</w:t>
      </w:r>
      <w:r>
        <w:rPr>
          <w:rFonts w:ascii="Times New Roman" w:hAnsi="Times New Roman" w:eastAsia="宋体" w:cs="Times New Roman"/>
          <w:szCs w:val="22"/>
        </w:rPr>
        <w:t>F2α</w:t>
      </w:r>
      <w:r>
        <w:rPr>
          <w:rFonts w:hint="eastAsia" w:ascii="Times New Roman" w:hAnsi="Times New Roman" w:eastAsia="宋体" w:cs="Times New Roman"/>
          <w:szCs w:val="22"/>
        </w:rPr>
        <w:t>的类似物，是一种选择性前列腺素F</w:t>
      </w:r>
      <w:r>
        <w:rPr>
          <w:rFonts w:ascii="Times New Roman" w:hAnsi="Times New Roman" w:eastAsia="宋体" w:cs="Times New Roman"/>
          <w:szCs w:val="22"/>
        </w:rPr>
        <w:t>P</w:t>
      </w:r>
      <w:r>
        <w:rPr>
          <w:rFonts w:hint="eastAsia" w:ascii="Times New Roman" w:hAnsi="Times New Roman" w:eastAsia="宋体" w:cs="Times New Roman"/>
          <w:szCs w:val="22"/>
        </w:rPr>
        <w:t>受体激动剂，能通过增加房水流出而降低眼压。人体降低眼压约从给药后3-</w:t>
      </w:r>
      <w:r>
        <w:rPr>
          <w:rFonts w:ascii="Times New Roman" w:hAnsi="Times New Roman" w:eastAsia="宋体" w:cs="Times New Roman"/>
          <w:szCs w:val="22"/>
        </w:rPr>
        <w:t>4</w:t>
      </w:r>
      <w:r>
        <w:rPr>
          <w:rFonts w:hint="eastAsia" w:ascii="Times New Roman" w:hAnsi="Times New Roman" w:eastAsia="宋体" w:cs="Times New Roman"/>
          <w:szCs w:val="22"/>
        </w:rPr>
        <w:t>小时开始，8-</w:t>
      </w:r>
      <w:r>
        <w:rPr>
          <w:rFonts w:ascii="Times New Roman" w:hAnsi="Times New Roman" w:eastAsia="宋体" w:cs="Times New Roman"/>
          <w:szCs w:val="22"/>
        </w:rPr>
        <w:t>12</w:t>
      </w:r>
      <w:r>
        <w:rPr>
          <w:rFonts w:hint="eastAsia" w:ascii="Times New Roman" w:hAnsi="Times New Roman" w:eastAsia="宋体" w:cs="Times New Roman"/>
          <w:szCs w:val="22"/>
        </w:rPr>
        <w:t>小时达到最大作用</w:t>
      </w:r>
      <w:r>
        <w:rPr>
          <w:rFonts w:ascii="Times New Roman" w:hAnsi="Times New Roman" w:eastAsia="宋体" w:cs="Times New Roman"/>
          <w:szCs w:val="22"/>
        </w:rPr>
        <w:t>。</w:t>
      </w:r>
      <w:r>
        <w:rPr>
          <w:rFonts w:hint="eastAsia" w:ascii="Times New Roman" w:hAnsi="Times New Roman" w:eastAsia="宋体" w:cs="Times New Roman"/>
          <w:szCs w:val="22"/>
        </w:rPr>
        <w:t>降眼压作用至少可维持2</w:t>
      </w:r>
      <w:r>
        <w:rPr>
          <w:rFonts w:ascii="Times New Roman" w:hAnsi="Times New Roman" w:eastAsia="宋体" w:cs="Times New Roman"/>
          <w:szCs w:val="22"/>
        </w:rPr>
        <w:t>4</w:t>
      </w:r>
      <w:r>
        <w:rPr>
          <w:rFonts w:hint="eastAsia" w:ascii="Times New Roman" w:hAnsi="Times New Roman" w:eastAsia="宋体" w:cs="Times New Roman"/>
          <w:szCs w:val="22"/>
        </w:rPr>
        <w:t>小时。动物和人的研究均显示拉坦前列素主要作用机制为松弛睫状肌，增宽肌间隙，而增加房水的葡萄膜巩膜旁道流出。也有报道拉坦前列素可轻微增加人房水流出的便利度（减少引流阻力）。主要的临床研究证明拉坦前列素单药治疗有效。此外还进行了联合用药的临床研究，这些研究显示拉坦前列素与</w:t>
      </w:r>
      <w:r>
        <w:rPr>
          <w:rFonts w:ascii="Times New Roman" w:hAnsi="Times New Roman" w:eastAsia="宋体" w:cs="Times New Roman"/>
          <w:szCs w:val="22"/>
        </w:rPr>
        <w:t>β</w:t>
      </w:r>
      <w:r>
        <w:rPr>
          <w:rFonts w:hint="eastAsia" w:ascii="Times New Roman" w:hAnsi="Times New Roman" w:eastAsia="宋体" w:cs="Times New Roman"/>
          <w:szCs w:val="22"/>
        </w:rPr>
        <w:t>-肾上腺素阻断剂（噻吗洛尔）合用有效。短期研究（1或2周）显示拉坦前列素与肾上腺素激动剂（双特戊酸酯肾上腺素）、口服碳酸酐酶抑制剂（乙酰唑胺）合用效果叠加，与胆碱激动剂（毛果芸香碱）合用效果至少部分增加。临床研究还显示拉坦前列素对房水的产生无明显影响，对血液-房水屏障无作用。按临床剂量使用以及在猴的研究中，拉坦前列素对眼内的血循环未见影响或影响可忽略不计。但局部用药可能发生轻至中度的结膜或巩膜充血。行囊外晶体摘除的猴长期使用拉坦前列素，用荧光血管造影术确定不会影响视网膜血管。拉坦前列素短期治疗不会引起后房人工晶体荧光素渗漏。临床治疗剂量的拉坦前列素对心血管或呼吸系统未见明显药理作用。</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【药物相互作用】</w:t>
      </w:r>
      <w:r>
        <w:rPr>
          <w:rFonts w:hint="eastAsia" w:ascii="黑体" w:hAnsi="黑体" w:eastAsia="黑体" w:cs="Times New Roman"/>
          <w:szCs w:val="22"/>
        </w:rPr>
        <w:t xml:space="preserve"> </w:t>
      </w:r>
      <w:r>
        <w:rPr>
          <w:rFonts w:hint="eastAsia" w:ascii="宋体" w:hAnsi="宋体" w:eastAsia="宋体" w:cs="Times New Roman"/>
          <w:szCs w:val="22"/>
        </w:rPr>
        <w:t>尚不明确。目前出现了同时使用两种前列腺素类似物滴眼液出现眼内压升高的报告。所以，不推荐同时使用两种或多种前列腺素、前列腺素类似物或前列腺素衍生物。</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【作用与用途】</w:t>
      </w:r>
      <w:r>
        <w:rPr>
          <w:rFonts w:hint="eastAsia" w:ascii="宋体" w:hAnsi="宋体" w:eastAsia="宋体" w:cs="Times New Roman"/>
          <w:szCs w:val="22"/>
        </w:rPr>
        <w:t xml:space="preserve"> 前列腺素受体激动剂。用于降低犬开角型青光眼和高眼压症动物升高的眼压。</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【用法与用量】</w:t>
      </w:r>
      <w:r>
        <w:rPr>
          <w:rFonts w:ascii="宋体" w:hAnsi="宋体" w:eastAsia="宋体" w:cs="Times New Roman"/>
          <w:szCs w:val="22"/>
        </w:rPr>
        <w:t xml:space="preserve"> </w:t>
      </w:r>
      <w:r>
        <w:rPr>
          <w:rFonts w:hint="eastAsia" w:ascii="宋体" w:hAnsi="宋体" w:eastAsia="宋体" w:cs="Times New Roman"/>
          <w:szCs w:val="22"/>
        </w:rPr>
        <w:t>眼部外用。急性青光眼：犬，患眼每1</w:t>
      </w:r>
      <w:r>
        <w:rPr>
          <w:rFonts w:ascii="宋体" w:hAnsi="宋体" w:eastAsia="宋体" w:cs="Times New Roman"/>
          <w:szCs w:val="22"/>
        </w:rPr>
        <w:t>0</w:t>
      </w:r>
      <w:r>
        <w:rPr>
          <w:rFonts w:hint="eastAsia" w:ascii="宋体" w:hAnsi="宋体" w:eastAsia="宋体" w:cs="Times New Roman"/>
          <w:szCs w:val="22"/>
        </w:rPr>
        <w:t>～</w:t>
      </w:r>
      <w:r>
        <w:rPr>
          <w:rFonts w:ascii="宋体" w:hAnsi="宋体" w:eastAsia="宋体" w:cs="Times New Roman"/>
          <w:szCs w:val="22"/>
        </w:rPr>
        <w:t>15</w:t>
      </w:r>
      <w:r>
        <w:rPr>
          <w:rFonts w:hint="eastAsia" w:ascii="宋体" w:hAnsi="宋体" w:eastAsia="宋体" w:cs="Times New Roman"/>
          <w:szCs w:val="22"/>
        </w:rPr>
        <w:t>分钟一次，每次1滴，给药2～</w:t>
      </w:r>
      <w:r>
        <w:rPr>
          <w:rFonts w:ascii="宋体" w:hAnsi="宋体" w:eastAsia="宋体" w:cs="Times New Roman"/>
          <w:szCs w:val="22"/>
        </w:rPr>
        <w:t>3</w:t>
      </w:r>
      <w:r>
        <w:rPr>
          <w:rFonts w:hint="eastAsia" w:ascii="宋体" w:hAnsi="宋体" w:eastAsia="宋体" w:cs="Times New Roman"/>
          <w:szCs w:val="22"/>
        </w:rPr>
        <w:t>次，如果I</w:t>
      </w:r>
      <w:r>
        <w:rPr>
          <w:rFonts w:ascii="宋体" w:hAnsi="宋体" w:eastAsia="宋体" w:cs="Times New Roman"/>
          <w:szCs w:val="22"/>
        </w:rPr>
        <w:t>OP</w:t>
      </w:r>
      <w:r>
        <w:rPr>
          <w:rFonts w:hint="eastAsia" w:ascii="宋体" w:hAnsi="宋体" w:eastAsia="宋体" w:cs="Times New Roman"/>
          <w:szCs w:val="22"/>
        </w:rPr>
        <w:t>在4</w:t>
      </w:r>
      <w:r>
        <w:rPr>
          <w:rFonts w:ascii="宋体" w:hAnsi="宋体" w:eastAsia="宋体" w:cs="Times New Roman"/>
          <w:szCs w:val="22"/>
        </w:rPr>
        <w:t>0</w:t>
      </w:r>
      <w:r>
        <w:rPr>
          <w:rFonts w:hint="eastAsia" w:ascii="宋体" w:hAnsi="宋体" w:eastAsia="宋体" w:cs="Times New Roman"/>
          <w:szCs w:val="22"/>
        </w:rPr>
        <w:t>-</w:t>
      </w:r>
      <w:r>
        <w:rPr>
          <w:rFonts w:ascii="宋体" w:hAnsi="宋体" w:eastAsia="宋体" w:cs="Times New Roman"/>
          <w:szCs w:val="22"/>
        </w:rPr>
        <w:t>45</w:t>
      </w:r>
      <w:r>
        <w:rPr>
          <w:rFonts w:hint="eastAsia" w:ascii="宋体" w:hAnsi="宋体" w:eastAsia="宋体" w:cs="Times New Roman"/>
          <w:szCs w:val="22"/>
        </w:rPr>
        <w:t>分钟内没有下降，可以全身给予高渗药物（如甘露醇、甘油）。青光眼的维持治疗：犬，每2</w:t>
      </w:r>
      <w:r>
        <w:rPr>
          <w:rFonts w:ascii="宋体" w:hAnsi="宋体" w:eastAsia="宋体" w:cs="Times New Roman"/>
          <w:szCs w:val="22"/>
        </w:rPr>
        <w:t>4</w:t>
      </w:r>
      <w:r>
        <w:rPr>
          <w:rFonts w:hint="eastAsia" w:ascii="宋体" w:hAnsi="宋体" w:eastAsia="宋体" w:cs="Times New Roman"/>
          <w:szCs w:val="22"/>
        </w:rPr>
        <w:t>小时1次，每次1滴，必要时每1</w:t>
      </w:r>
      <w:r>
        <w:rPr>
          <w:rFonts w:ascii="宋体" w:hAnsi="宋体" w:eastAsia="宋体" w:cs="Times New Roman"/>
          <w:szCs w:val="22"/>
        </w:rPr>
        <w:t>2</w:t>
      </w:r>
      <w:r>
        <w:rPr>
          <w:rFonts w:hint="eastAsia" w:ascii="宋体" w:hAnsi="宋体" w:eastAsia="宋体" w:cs="Times New Roman"/>
          <w:szCs w:val="22"/>
        </w:rPr>
        <w:t>小时1次。</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【不良反应】</w:t>
      </w:r>
      <w:r>
        <w:rPr>
          <w:rFonts w:hint="eastAsia" w:ascii="黑体" w:hAnsi="黑体" w:eastAsia="黑体" w:cs="Times New Roman"/>
          <w:szCs w:val="22"/>
        </w:rPr>
        <w:t xml:space="preserve"> </w:t>
      </w:r>
      <w:r>
        <w:rPr>
          <w:rFonts w:ascii="Times New Roman" w:hAnsi="Times New Roman" w:eastAsia="宋体" w:cs="Times New Roman"/>
          <w:szCs w:val="22"/>
        </w:rPr>
        <w:t>1.</w:t>
      </w:r>
      <w:r>
        <w:rPr>
          <w:rFonts w:hint="eastAsia" w:ascii="Times New Roman" w:hAnsi="Times New Roman" w:eastAsia="宋体" w:cs="Times New Roman"/>
          <w:szCs w:val="22"/>
        </w:rPr>
        <w:t>每日给药2次可能会出现针尖样瞳孔，这可能会导致功能性失明。</w:t>
      </w:r>
    </w:p>
    <w:p>
      <w:pPr>
        <w:adjustRightInd w:val="0"/>
        <w:snapToGrid w:val="0"/>
        <w:spacing w:line="276" w:lineRule="auto"/>
        <w:ind w:firstLine="420" w:firstLineChars="200"/>
        <w:rPr>
          <w:rFonts w:ascii="Times New Roman" w:hAnsi="Times New Roman" w:eastAsia="宋体" w:cs="Times New Roman"/>
          <w:color w:val="000000" w:themeColor="text1"/>
          <w:szCs w:val="22"/>
          <w14:textFill>
            <w14:solidFill>
              <w14:schemeClr w14:val="tx1"/>
            </w14:solidFill>
          </w14:textFill>
        </w:rPr>
      </w:pPr>
      <w:r>
        <w:rPr>
          <w:rFonts w:ascii="Times New Roman" w:hAnsi="Times New Roman" w:eastAsia="宋体" w:cs="Times New Roman"/>
          <w:szCs w:val="22"/>
        </w:rPr>
        <w:t>2.</w:t>
      </w:r>
      <w:r>
        <w:rPr>
          <w:rFonts w:hint="eastAsia" w:ascii="Times New Roman" w:hAnsi="Times New Roman" w:eastAsia="宋体" w:cs="Times New Roman"/>
          <w:szCs w:val="22"/>
        </w:rPr>
        <w:t>局部使用拉坦前列素可能导致犬的正常血房水屏障被破坏。</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【注意事项】</w:t>
      </w:r>
      <w:r>
        <w:rPr>
          <w:rFonts w:hint="eastAsia" w:ascii="Times New Roman" w:hAnsi="Times New Roman" w:eastAsia="黑体" w:cs="Times New Roman"/>
          <w:szCs w:val="22"/>
        </w:rPr>
        <w:t xml:space="preserve"> </w:t>
      </w:r>
      <w:r>
        <w:rPr>
          <w:rFonts w:ascii="Times New Roman" w:hAnsi="Times New Roman" w:eastAsia="宋体" w:cs="Times New Roman"/>
          <w:szCs w:val="22"/>
        </w:rPr>
        <w:t>1.</w:t>
      </w:r>
      <w:r>
        <w:rPr>
          <w:rFonts w:hint="eastAsia" w:ascii="Times New Roman" w:hAnsi="Times New Roman" w:eastAsia="宋体" w:cs="Times New Roman"/>
          <w:szCs w:val="22"/>
        </w:rPr>
        <w:t>对本品任何成分过敏的动物不得使用。</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2</w:t>
      </w:r>
      <w:r>
        <w:rPr>
          <w:rFonts w:ascii="Times New Roman" w:hAnsi="Times New Roman" w:eastAsia="宋体" w:cs="Times New Roman"/>
          <w:szCs w:val="22"/>
        </w:rPr>
        <w:t>.</w:t>
      </w:r>
      <w:r>
        <w:rPr>
          <w:rFonts w:hint="eastAsia" w:ascii="Times New Roman" w:hAnsi="Times New Roman" w:eastAsia="宋体" w:cs="Times New Roman"/>
          <w:szCs w:val="22"/>
        </w:rPr>
        <w:t>对于眼睑痉挛、泪溢、结膜充血的犬不得使用。</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3.</w:t>
      </w:r>
      <w:r>
        <w:rPr>
          <w:rFonts w:hint="eastAsia" w:ascii="Times New Roman" w:hAnsi="Times New Roman" w:eastAsia="宋体" w:cs="Times New Roman"/>
          <w:szCs w:val="22"/>
        </w:rPr>
        <w:t>本品可能会增加虹膜棕色色素的数量而逐渐引起眼睛颜色改变。决定治疗前应告知病人眼睛颜色改变的可能性。单侧治疗可导致永久性的虹膜异色症。眼睛颜色改变主要在虹膜混合颜色的病人中观察到，如蓝-棕、灰-棕、黄-棕或绿-棕混合色。在拉坦前列素的研究中，颜色改变通常在治疗的前8个月内开始发生，非常少数病人在第二年或第三年发生，并未见在治疗第四年发生。随着时间的增加，虹膜棕色色素沉着发生率减少；5年内趋于稳定。未对5年以后的虹膜棕色色素沉着情况进行评价。在一项开放型的拉坦前列素5年安全性研究中，</w:t>
      </w:r>
      <w:r>
        <w:rPr>
          <w:rFonts w:ascii="Times New Roman" w:hAnsi="Times New Roman" w:eastAsia="宋体" w:cs="Times New Roman"/>
          <w:szCs w:val="22"/>
        </w:rPr>
        <w:t>33</w:t>
      </w:r>
      <w:r>
        <w:rPr>
          <w:rFonts w:hint="eastAsia" w:ascii="Times New Roman" w:hAnsi="Times New Roman" w:eastAsia="宋体" w:cs="Times New Roman"/>
          <w:szCs w:val="22"/>
        </w:rPr>
        <w:t>%的病人发生虹膜色素沉着，多数病人虹膜颜色改变轻微，通常里临床上观察不到。虹膜混合色病人颜色改变的发生率从7%到8</w:t>
      </w:r>
      <w:r>
        <w:rPr>
          <w:rFonts w:ascii="Times New Roman" w:hAnsi="Times New Roman" w:eastAsia="宋体" w:cs="Times New Roman"/>
          <w:szCs w:val="22"/>
        </w:rPr>
        <w:t>5</w:t>
      </w:r>
      <w:r>
        <w:rPr>
          <w:rFonts w:hint="eastAsia" w:ascii="Times New Roman" w:hAnsi="Times New Roman" w:eastAsia="宋体" w:cs="Times New Roman"/>
          <w:szCs w:val="22"/>
        </w:rPr>
        <w:t>%不等，黄-棕混合色发生率最高。纯蓝色眼睛未观察到颜色改变，纯灰、绿或棕色眼睛仅观察到极少数病人颜色改变。颜色改变是因为虹膜基底的黑素细胞中黑色素含量增加，而非黑素细胞数量本身增加。典型特征为瞳孔周围棕色色素沉着呈离心性向四周分布，使整个虹膜或部分虹膜呈更深的颜色。一旦停药，虹膜棕色色素不会再进一步加深。到目前为止，在临床研究中，这种改变不伴有任何症状或病理改变。治疗不会导致产生虹膜的痣或斑点。小梁网或前房其它部位色素积聚未在临床研究中观察到。已获得的5年的长期用药经验显示虹膜色素沉着无任何不良的临床结果，有虹膜色素沉着的病人仍可继续使用本品，但病人应定期检查，视临床状况，如需要可停用本品治疗。</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3</w:t>
      </w:r>
      <w:r>
        <w:rPr>
          <w:rFonts w:ascii="Times New Roman" w:hAnsi="Times New Roman" w:eastAsia="宋体" w:cs="Times New Roman"/>
          <w:szCs w:val="22"/>
        </w:rPr>
        <w:t>.</w:t>
      </w:r>
      <w:r>
        <w:rPr>
          <w:rFonts w:hint="eastAsia" w:ascii="Times New Roman" w:hAnsi="Times New Roman" w:eastAsia="宋体" w:cs="Times New Roman"/>
          <w:szCs w:val="22"/>
        </w:rPr>
        <w:t>本品用于慢性闭角型青光眼、植入人工晶体的开角型青光眼和色素性青光眼的经验优先。本品尚无用于炎性和新生血管性青光眼以及炎症性眼睛疾病的经验。本品对瞳孔无作用或作用很小，但本品尚无用于闭角型青光眼急性发作的经验。所以，在获得更多经验之前，建议再以上情况时应慎用本品。</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4</w:t>
      </w:r>
      <w:r>
        <w:rPr>
          <w:rFonts w:ascii="Times New Roman" w:hAnsi="Times New Roman" w:eastAsia="宋体" w:cs="Times New Roman"/>
          <w:szCs w:val="22"/>
        </w:rPr>
        <w:t>.</w:t>
      </w:r>
      <w:r>
        <w:rPr>
          <w:rFonts w:hint="eastAsia" w:ascii="Times New Roman" w:hAnsi="Times New Roman" w:eastAsia="宋体" w:cs="Times New Roman"/>
          <w:szCs w:val="22"/>
        </w:rPr>
        <w:t>本品用于白内障手术围手术期的研究数据有限，应慎用于此类患者。</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5</w:t>
      </w:r>
      <w:r>
        <w:rPr>
          <w:rFonts w:ascii="Times New Roman" w:hAnsi="Times New Roman" w:eastAsia="宋体" w:cs="Times New Roman"/>
          <w:szCs w:val="22"/>
        </w:rPr>
        <w:t>.</w:t>
      </w:r>
      <w:r>
        <w:rPr>
          <w:rFonts w:hint="eastAsia" w:ascii="Times New Roman" w:hAnsi="Times New Roman" w:eastAsia="宋体" w:cs="Times New Roman"/>
          <w:szCs w:val="22"/>
        </w:rPr>
        <w:t>有疱疹性角膜炎病史的患者慎用本品，对于验证活动单纯疱疹性角膜炎的患者和有复发性疱疹性角膜炎病史的患者应避免本品，尤其和其它前列腺素类似物合用。</w:t>
      </w:r>
    </w:p>
    <w:p>
      <w:pPr>
        <w:adjustRightInd w:val="0"/>
        <w:snapToGrid w:val="0"/>
        <w:spacing w:line="276" w:lineRule="auto"/>
        <w:ind w:firstLine="420" w:firstLineChars="200"/>
        <w:rPr>
          <w:rFonts w:ascii="Times New Roman" w:hAnsi="Times New Roman" w:eastAsia="黑体" w:cs="Times New Roman"/>
          <w:szCs w:val="22"/>
        </w:rPr>
      </w:pPr>
      <w:r>
        <w:rPr>
          <w:rFonts w:hint="eastAsia" w:ascii="Times New Roman" w:hAnsi="Times New Roman" w:eastAsia="宋体" w:cs="Times New Roman"/>
          <w:szCs w:val="22"/>
        </w:rPr>
        <w:t>6</w:t>
      </w:r>
      <w:r>
        <w:rPr>
          <w:rFonts w:ascii="Times New Roman" w:hAnsi="Times New Roman" w:eastAsia="宋体" w:cs="Times New Roman"/>
          <w:szCs w:val="22"/>
        </w:rPr>
        <w:t>.</w:t>
      </w:r>
      <w:r>
        <w:rPr>
          <w:rFonts w:hint="eastAsia" w:ascii="Times New Roman" w:hAnsi="Times New Roman" w:eastAsia="宋体" w:cs="Times New Roman"/>
          <w:szCs w:val="22"/>
        </w:rPr>
        <w:t>在无晶状体、人工晶体伴晶状体后囊袋撕裂或植入前房人工晶体、或者已知有黄斑囊样水肿危险因素的病人（如糖尿病视网膜病变和视网膜静脉闭塞）中已有的黄斑水肿病例的报告。故本品慎用于无晶状体、人工晶体伴晶状体后囊袋撕裂或植入型前房人工晶体、或者已知有黄斑囊样水肿危险因素的患者。</w:t>
      </w:r>
    </w:p>
    <w:p>
      <w:pPr>
        <w:adjustRightInd w:val="0"/>
        <w:snapToGrid w:val="0"/>
        <w:spacing w:line="276" w:lineRule="auto"/>
        <w:rPr>
          <w:rFonts w:ascii="Times New Roman" w:hAnsi="Times New Roman" w:eastAsia="宋体" w:cs="Times New Roman"/>
          <w:szCs w:val="22"/>
        </w:rPr>
      </w:pP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7.</w:t>
      </w:r>
      <w:r>
        <w:rPr>
          <w:rFonts w:hint="eastAsia" w:ascii="Times New Roman" w:hAnsi="Times New Roman" w:eastAsia="宋体" w:cs="Times New Roman"/>
          <w:szCs w:val="22"/>
        </w:rPr>
        <w:t>在动物研究中未发现拉坦前列素对雄性和雌性动物生育力有影响。</w:t>
      </w:r>
    </w:p>
    <w:p>
      <w:pPr>
        <w:adjustRightInd w:val="0"/>
        <w:snapToGrid w:val="0"/>
        <w:spacing w:line="276" w:lineRule="auto"/>
        <w:ind w:firstLine="435"/>
        <w:rPr>
          <w:rFonts w:ascii="Times New Roman" w:hAnsi="Times New Roman" w:eastAsia="宋体" w:cs="Times New Roman"/>
          <w:szCs w:val="22"/>
        </w:rPr>
      </w:pPr>
      <w:r>
        <w:rPr>
          <w:rFonts w:ascii="Times New Roman" w:hAnsi="Times New Roman" w:eastAsia="宋体" w:cs="Times New Roman"/>
          <w:szCs w:val="22"/>
        </w:rPr>
        <w:t>8.</w:t>
      </w:r>
      <w:r>
        <w:rPr>
          <w:rFonts w:hint="eastAsia" w:ascii="Times New Roman" w:hAnsi="Times New Roman" w:eastAsia="宋体" w:cs="Times New Roman"/>
          <w:szCs w:val="22"/>
        </w:rPr>
        <w:t>本品过量滴眼，除了眼睛刺激和结膜充血外，尚未发现其他眼部副作用。</w:t>
      </w:r>
    </w:p>
    <w:p>
      <w:pPr>
        <w:adjustRightInd w:val="0"/>
        <w:snapToGrid w:val="0"/>
        <w:spacing w:line="276" w:lineRule="auto"/>
        <w:ind w:firstLine="435"/>
        <w:rPr>
          <w:rFonts w:ascii="Times New Roman" w:hAnsi="Times New Roman" w:eastAsia="宋体" w:cs="Times New Roman"/>
          <w:szCs w:val="22"/>
        </w:rPr>
      </w:pPr>
      <w:r>
        <w:rPr>
          <w:rFonts w:ascii="Times New Roman" w:hAnsi="Times New Roman" w:eastAsia="宋体" w:cs="Times New Roman"/>
          <w:szCs w:val="22"/>
        </w:rPr>
        <w:t>9.</w:t>
      </w:r>
      <w:r>
        <w:rPr>
          <w:rFonts w:hint="eastAsia" w:ascii="Times New Roman" w:hAnsi="Times New Roman" w:eastAsia="宋体" w:cs="Times New Roman"/>
          <w:szCs w:val="22"/>
        </w:rPr>
        <w:t>若以外误服本品，可能引起恶心、腹痛、头晕、疲劳感、潮热和出汗。</w:t>
      </w:r>
    </w:p>
    <w:p>
      <w:pPr>
        <w:adjustRightInd w:val="0"/>
        <w:snapToGrid w:val="0"/>
        <w:spacing w:line="276" w:lineRule="auto"/>
        <w:ind w:firstLine="435"/>
        <w:rPr>
          <w:rFonts w:ascii="Times New Roman" w:hAnsi="Times New Roman" w:eastAsia="宋体" w:cs="Times New Roman"/>
          <w:szCs w:val="22"/>
        </w:rPr>
      </w:pPr>
      <w:r>
        <w:rPr>
          <w:rFonts w:hint="eastAsia" w:ascii="Times New Roman" w:hAnsi="Times New Roman" w:eastAsia="宋体" w:cs="Times New Roman"/>
          <w:szCs w:val="22"/>
        </w:rPr>
        <w:t>1</w:t>
      </w:r>
      <w:r>
        <w:rPr>
          <w:rFonts w:ascii="Times New Roman" w:hAnsi="Times New Roman" w:eastAsia="宋体" w:cs="Times New Roman"/>
          <w:szCs w:val="22"/>
        </w:rPr>
        <w:t>0.</w:t>
      </w:r>
      <w:r>
        <w:rPr>
          <w:rFonts w:hint="eastAsia" w:ascii="Times New Roman" w:hAnsi="Times New Roman" w:eastAsia="宋体" w:cs="Times New Roman"/>
          <w:szCs w:val="22"/>
        </w:rPr>
        <w:t>若发生药物过量，请对症治疗。</w:t>
      </w:r>
    </w:p>
    <w:p>
      <w:pPr>
        <w:adjustRightInd w:val="0"/>
        <w:snapToGrid w:val="0"/>
        <w:spacing w:line="276" w:lineRule="auto"/>
        <w:ind w:firstLine="435"/>
        <w:rPr>
          <w:rFonts w:ascii="Times New Roman" w:hAnsi="Times New Roman" w:eastAsia="宋体" w:cs="Times New Roman"/>
          <w:szCs w:val="22"/>
        </w:rPr>
      </w:pPr>
      <w:r>
        <w:rPr>
          <w:rFonts w:hint="eastAsia" w:ascii="Times New Roman" w:hAnsi="Times New Roman" w:eastAsia="宋体" w:cs="Times New Roman"/>
          <w:szCs w:val="22"/>
        </w:rPr>
        <w:t>1</w:t>
      </w:r>
      <w:r>
        <w:rPr>
          <w:rFonts w:ascii="Times New Roman" w:hAnsi="Times New Roman" w:eastAsia="宋体" w:cs="Times New Roman"/>
          <w:szCs w:val="22"/>
        </w:rPr>
        <w:t>1.</w:t>
      </w:r>
      <w:r>
        <w:rPr>
          <w:rFonts w:hint="eastAsia" w:ascii="Times New Roman" w:hAnsi="Times New Roman" w:eastAsia="宋体" w:cs="Times New Roman"/>
          <w:szCs w:val="22"/>
        </w:rPr>
        <w:t>有眼内炎症（虹膜炎/葡萄膜炎）病史的患病动物应谨慎使用。</w:t>
      </w:r>
    </w:p>
    <w:p>
      <w:pPr>
        <w:adjustRightInd w:val="0"/>
        <w:snapToGrid w:val="0"/>
        <w:spacing w:line="276" w:lineRule="auto"/>
        <w:ind w:firstLine="435"/>
        <w:rPr>
          <w:rFonts w:ascii="Times New Roman" w:hAnsi="Times New Roman" w:eastAsia="宋体" w:cs="Times New Roman"/>
          <w:szCs w:val="22"/>
        </w:rPr>
      </w:pPr>
      <w:r>
        <w:rPr>
          <w:rFonts w:hint="eastAsia" w:ascii="Times New Roman" w:hAnsi="Times New Roman" w:eastAsia="宋体" w:cs="Times New Roman"/>
          <w:szCs w:val="22"/>
        </w:rPr>
        <w:t>1</w:t>
      </w:r>
      <w:r>
        <w:rPr>
          <w:rFonts w:ascii="Times New Roman" w:hAnsi="Times New Roman" w:eastAsia="宋体" w:cs="Times New Roman"/>
          <w:szCs w:val="22"/>
        </w:rPr>
        <w:t>2.</w:t>
      </w:r>
      <w:r>
        <w:rPr>
          <w:rFonts w:hint="eastAsia" w:ascii="Times New Roman" w:hAnsi="Times New Roman" w:eastAsia="宋体" w:cs="Times New Roman"/>
          <w:szCs w:val="22"/>
        </w:rPr>
        <w:t>对于没有完整后囊的患病动物，请谨慎使用。</w:t>
      </w:r>
    </w:p>
    <w:p>
      <w:pPr>
        <w:adjustRightInd w:val="0"/>
        <w:snapToGrid w:val="0"/>
        <w:spacing w:line="276" w:lineRule="auto"/>
        <w:ind w:firstLine="435"/>
        <w:rPr>
          <w:rFonts w:ascii="Times New Roman" w:hAnsi="Times New Roman" w:eastAsia="宋体" w:cs="Times New Roman"/>
          <w:szCs w:val="22"/>
        </w:rPr>
      </w:pPr>
      <w:r>
        <w:rPr>
          <w:rFonts w:hint="eastAsia" w:ascii="Times New Roman" w:hAnsi="Times New Roman" w:eastAsia="宋体" w:cs="Times New Roman"/>
          <w:szCs w:val="22"/>
        </w:rPr>
        <w:t>1</w:t>
      </w:r>
      <w:r>
        <w:rPr>
          <w:rFonts w:ascii="Times New Roman" w:hAnsi="Times New Roman" w:eastAsia="宋体" w:cs="Times New Roman"/>
          <w:szCs w:val="22"/>
        </w:rPr>
        <w:t>3.</w:t>
      </w:r>
      <w:r>
        <w:rPr>
          <w:rFonts w:hint="eastAsia" w:ascii="Times New Roman" w:hAnsi="Times New Roman" w:eastAsia="宋体" w:cs="Times New Roman"/>
          <w:szCs w:val="22"/>
        </w:rPr>
        <w:t>含硫柳汞眼液和拉塔诺前列素眼科溶液的混合物会导致沉淀物的形成。</w:t>
      </w:r>
    </w:p>
    <w:p>
      <w:pPr>
        <w:adjustRightInd w:val="0"/>
        <w:snapToGrid w:val="0"/>
        <w:spacing w:line="276" w:lineRule="auto"/>
        <w:ind w:firstLine="435"/>
        <w:rPr>
          <w:rFonts w:ascii="Times New Roman" w:hAnsi="Times New Roman" w:eastAsia="宋体" w:cs="Times New Roman"/>
          <w:szCs w:val="22"/>
        </w:rPr>
      </w:pPr>
      <w:r>
        <w:rPr>
          <w:rFonts w:hint="eastAsia" w:ascii="Times New Roman" w:hAnsi="Times New Roman" w:eastAsia="宋体" w:cs="Times New Roman"/>
          <w:szCs w:val="22"/>
        </w:rPr>
        <w:t>1</w:t>
      </w:r>
      <w:r>
        <w:rPr>
          <w:rFonts w:ascii="Times New Roman" w:hAnsi="Times New Roman" w:eastAsia="宋体" w:cs="Times New Roman"/>
          <w:szCs w:val="22"/>
        </w:rPr>
        <w:t>4.</w:t>
      </w:r>
      <w:r>
        <w:rPr>
          <w:rFonts w:hint="eastAsia" w:ascii="Times New Roman" w:hAnsi="Times New Roman" w:eastAsia="宋体" w:cs="Times New Roman"/>
          <w:szCs w:val="22"/>
        </w:rPr>
        <w:t>接受大于1中眼科药物的患病动物，每种药物的滴用应至少间隔5分钟。</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【规格】</w:t>
      </w:r>
      <w:r>
        <w:rPr>
          <w:rFonts w:ascii="Times New Roman" w:hAnsi="Times New Roman" w:eastAsia="宋体" w:cs="Times New Roman"/>
          <w:szCs w:val="22"/>
        </w:rPr>
        <w:t xml:space="preserve"> 2.5ml</w:t>
      </w:r>
      <w:r>
        <w:rPr>
          <w:rFonts w:hint="eastAsia" w:ascii="宋体" w:hAnsi="宋体" w:eastAsia="宋体" w:cs="Times New Roman"/>
          <w:szCs w:val="22"/>
        </w:rPr>
        <w:t>︰</w:t>
      </w:r>
      <w:r>
        <w:rPr>
          <w:rFonts w:ascii="Times New Roman" w:hAnsi="Times New Roman" w:eastAsia="宋体" w:cs="Times New Roman"/>
          <w:szCs w:val="22"/>
        </w:rPr>
        <w:t>125μ</w:t>
      </w:r>
      <w:r>
        <w:rPr>
          <w:rFonts w:hint="eastAsia" w:ascii="Times New Roman" w:hAnsi="Times New Roman" w:eastAsia="宋体" w:cs="Times New Roman"/>
          <w:szCs w:val="22"/>
        </w:rPr>
        <w:t>g</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【包装】</w:t>
      </w:r>
      <w:r>
        <w:rPr>
          <w:rFonts w:ascii="Times New Roman" w:hAnsi="Times New Roman" w:eastAsia="宋体" w:cs="Times New Roman"/>
          <w:szCs w:val="22"/>
        </w:rPr>
        <w:t> </w:t>
      </w:r>
      <w:r>
        <w:rPr>
          <w:rFonts w:hint="eastAsia" w:ascii="Times New Roman" w:hAnsi="Times New Roman" w:eastAsia="宋体" w:cs="Times New Roman"/>
          <w:szCs w:val="22"/>
        </w:rPr>
        <w:t>2</w:t>
      </w:r>
      <w:r>
        <w:rPr>
          <w:rFonts w:ascii="Times New Roman" w:hAnsi="Times New Roman" w:eastAsia="宋体" w:cs="Times New Roman"/>
          <w:szCs w:val="22"/>
        </w:rPr>
        <w:t>.5ml/</w:t>
      </w:r>
      <w:r>
        <w:rPr>
          <w:rFonts w:hint="eastAsia" w:ascii="Times New Roman" w:hAnsi="Times New Roman" w:eastAsia="宋体" w:cs="Times New Roman"/>
          <w:szCs w:val="22"/>
        </w:rPr>
        <w:t>瓶</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【贮藏】</w:t>
      </w:r>
      <w:r>
        <w:rPr>
          <w:rFonts w:ascii="Times New Roman" w:hAnsi="Times New Roman" w:eastAsia="宋体" w:cs="Times New Roman"/>
          <w:szCs w:val="22"/>
        </w:rPr>
        <w:t> </w:t>
      </w:r>
      <w:r>
        <w:rPr>
          <w:rFonts w:hint="eastAsia" w:ascii="Times New Roman" w:hAnsi="Times New Roman" w:eastAsia="宋体" w:cs="Times New Roman"/>
          <w:szCs w:val="22"/>
        </w:rPr>
        <w:t>开封前2</w:t>
      </w:r>
      <w:r>
        <w:rPr>
          <w:rFonts w:hint="eastAsia" w:ascii="宋体" w:hAnsi="宋体" w:eastAsia="宋体" w:cs="Times New Roman"/>
          <w:szCs w:val="22"/>
        </w:rPr>
        <w:t>～</w:t>
      </w:r>
      <w:r>
        <w:rPr>
          <w:rFonts w:ascii="Times New Roman" w:hAnsi="Times New Roman" w:eastAsia="宋体" w:cs="Times New Roman"/>
          <w:szCs w:val="22"/>
        </w:rPr>
        <w:t>8</w:t>
      </w:r>
      <w:r>
        <w:rPr>
          <w:rFonts w:hint="eastAsia" w:ascii="宋体" w:hAnsi="宋体" w:eastAsia="宋体" w:cs="Times New Roman"/>
          <w:szCs w:val="22"/>
        </w:rPr>
        <w:t>℃</w:t>
      </w:r>
      <w:r>
        <w:rPr>
          <w:rFonts w:hint="eastAsia" w:ascii="Times New Roman" w:hAnsi="Times New Roman" w:eastAsia="宋体" w:cs="Times New Roman"/>
          <w:szCs w:val="22"/>
        </w:rPr>
        <w:t>冷藏，避光保存。</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【有效期】</w:t>
      </w:r>
      <w:r>
        <w:rPr>
          <w:rFonts w:ascii="Times New Roman" w:hAnsi="Times New Roman" w:eastAsia="宋体" w:cs="Times New Roman"/>
          <w:szCs w:val="22"/>
        </w:rPr>
        <w:t> 36个月</w:t>
      </w:r>
      <w:r>
        <w:rPr>
          <w:rFonts w:hint="eastAsia" w:ascii="Times New Roman" w:hAnsi="Times New Roman" w:eastAsia="宋体" w:cs="Times New Roman"/>
          <w:szCs w:val="22"/>
        </w:rPr>
        <w:t>，开封后可在低于2</w:t>
      </w:r>
      <w:r>
        <w:rPr>
          <w:rFonts w:ascii="Times New Roman" w:hAnsi="Times New Roman" w:eastAsia="宋体" w:cs="Times New Roman"/>
          <w:szCs w:val="22"/>
        </w:rPr>
        <w:t>5</w:t>
      </w:r>
      <w:r>
        <w:rPr>
          <w:rFonts w:hint="eastAsia" w:ascii="宋体" w:hAnsi="宋体" w:eastAsia="宋体" w:cs="Times New Roman"/>
          <w:szCs w:val="22"/>
        </w:rPr>
        <w:t>℃</w:t>
      </w:r>
      <w:r>
        <w:rPr>
          <w:rFonts w:hint="eastAsia" w:ascii="Times New Roman" w:hAnsi="Times New Roman" w:eastAsia="宋体" w:cs="Times New Roman"/>
          <w:szCs w:val="22"/>
        </w:rPr>
        <w:t>室温保存，4周内用完。</w:t>
      </w:r>
    </w:p>
    <w:p>
      <w:pPr>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【批准文号】</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adjustRightInd w:val="0"/>
        <w:snapToGrid w:val="0"/>
        <w:spacing w:line="276" w:lineRule="auto"/>
        <w:rPr>
          <w:rFonts w:ascii="Times New Roman" w:hAnsi="Times New Roman" w:eastAsia="宋体" w:cs="Times New Roman"/>
          <w:color w:val="000000" w:themeColor="text1"/>
          <w:szCs w:val="21"/>
          <w14:textFill>
            <w14:solidFill>
              <w14:schemeClr w14:val="tx1"/>
            </w14:solidFill>
          </w14:textFill>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p>
    <w:p>
      <w:pPr>
        <w:widowControl/>
        <w:shd w:val="clear" w:color="auto" w:fill="FFFFFF"/>
        <w:jc w:val="center"/>
        <w:outlineLvl w:val="0"/>
        <w:rPr>
          <w:rFonts w:ascii="黑体" w:hAnsi="黑体" w:eastAsia="黑体" w:cs="黑体"/>
          <w:b/>
          <w:bCs/>
          <w:kern w:val="44"/>
          <w:szCs w:val="21"/>
          <w:shd w:val="clear" w:color="auto" w:fill="FFFFFF"/>
        </w:rPr>
      </w:pPr>
      <w:r>
        <w:rPr>
          <w:rFonts w:ascii="黑体" w:hAnsi="黑体" w:eastAsia="黑体" w:cs="黑体"/>
          <w:b/>
          <w:bCs/>
          <w:kern w:val="44"/>
          <w:szCs w:val="21"/>
          <w:shd w:val="clear" w:color="auto" w:fill="FFFFFF"/>
        </w:rPr>
        <w:t>盐酸莫西沙星滴眼液说明书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盐酸莫西沙星滴眼液</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r>
        <w:rPr>
          <w:rFonts w:hint="eastAsia" w:ascii="Times New Roman" w:hAnsi="Times New Roman" w:eastAsia="宋体" w:cs="Times New Roman"/>
          <w:bCs/>
          <w:szCs w:val="21"/>
        </w:rPr>
        <w:t>Moxifloxacin Hydrochloride Eye Drops</w:t>
      </w:r>
    </w:p>
    <w:p>
      <w:pPr>
        <w:widowControl/>
        <w:shd w:val="clear" w:color="auto" w:fill="FFFFFF"/>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汉语拼音</w:t>
      </w:r>
      <w:r>
        <w:rPr>
          <w:rFonts w:ascii="Times New Roman" w:hAnsi="Times New Roman" w:eastAsia="宋体" w:cs="Times New Roman"/>
          <w:bCs/>
          <w:sz w:val="24"/>
          <w:szCs w:val="21"/>
        </w:rPr>
        <w:t>：</w:t>
      </w:r>
      <w:r>
        <w:rPr>
          <w:rFonts w:hint="eastAsia" w:ascii="Times New Roman" w:hAnsi="Times New Roman" w:eastAsia="宋体" w:cs="Times New Roman"/>
          <w:bCs/>
          <w:szCs w:val="21"/>
        </w:rPr>
        <w:t xml:space="preserve">Yansuan Moxishaxing </w:t>
      </w:r>
      <w:r>
        <w:rPr>
          <w:rFonts w:hint="eastAsia" w:ascii="Times New Roman" w:hAnsi="Times New Roman" w:eastAsia="宋体" w:cs="Times New Roman"/>
          <w:bCs/>
          <w:kern w:val="0"/>
          <w:szCs w:val="21"/>
        </w:rPr>
        <w:t>Diyanye</w:t>
      </w:r>
    </w:p>
    <w:p>
      <w:pPr>
        <w:rPr>
          <w:rFonts w:ascii="黑体" w:hAnsi="黑体" w:eastAsia="黑体" w:cs="Times New Roman"/>
          <w:b/>
          <w:bCs/>
          <w:kern w:val="0"/>
          <w:szCs w:val="21"/>
        </w:rPr>
      </w:pPr>
      <w:r>
        <w:rPr>
          <w:rFonts w:ascii="黑体" w:hAnsi="黑体" w:eastAsia="黑体" w:cs="Times New Roman"/>
          <w:b/>
          <w:bCs/>
          <w:kern w:val="0"/>
          <w:szCs w:val="21"/>
        </w:rPr>
        <w:t>【主要成分】</w:t>
      </w:r>
      <w:r>
        <w:rPr>
          <w:rFonts w:hint="eastAsia" w:ascii="Times New Roman" w:hAnsi="Times New Roman" w:eastAsia="宋体" w:cs="Times New Roman"/>
          <w:bCs/>
          <w:szCs w:val="21"/>
        </w:rPr>
        <w:t>盐酸莫西沙星</w:t>
      </w:r>
    </w:p>
    <w:p>
      <w:pPr>
        <w:rPr>
          <w:rFonts w:ascii="宋体" w:hAnsi="宋体" w:eastAsia="宋体" w:cs="宋体"/>
          <w:color w:val="333333"/>
          <w:kern w:val="0"/>
          <w:sz w:val="28"/>
          <w:szCs w:val="28"/>
          <w:lang w:bidi="ar"/>
        </w:rPr>
      </w:pPr>
      <w:r>
        <w:rPr>
          <w:rFonts w:hint="eastAsia" w:ascii="黑体" w:hAnsi="黑体" w:eastAsia="黑体" w:cs="Times New Roman"/>
          <w:b/>
          <w:bCs/>
          <w:kern w:val="0"/>
          <w:szCs w:val="21"/>
        </w:rPr>
        <w:t>【性状】</w:t>
      </w:r>
      <w:r>
        <w:rPr>
          <w:rFonts w:hint="eastAsia" w:ascii="Times New Roman" w:hAnsi="Times New Roman" w:eastAsia="宋体" w:cs="Times New Roman"/>
          <w:bCs/>
          <w:szCs w:val="21"/>
        </w:rPr>
        <w:t>本品为淡黄绿色的澄明液体。</w:t>
      </w:r>
    </w:p>
    <w:p>
      <w:pPr>
        <w:widowControl/>
        <w:spacing w:line="225" w:lineRule="atLeast"/>
        <w:jc w:val="left"/>
        <w:rPr>
          <w:rFonts w:ascii="黑体" w:hAnsi="黑体" w:eastAsia="黑体" w:cs="Times New Roman"/>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bCs/>
          <w:szCs w:val="21"/>
        </w:rPr>
        <w:t>莫西沙星是具有广谱活性和杀菌作用的8-甲氧基氟喹诺酮类抗菌药。莫西沙星在体外显示出对革兰阳性菌、革兰阴性菌、厌氧菌、抗酸菌和非典型微生物如支原体、衣原体和军团菌具有广谱抗菌活性。莫西沙星能够抑制拓扑异构酶II (DNA促 旋酶)和IV.拓扑异构酶是控制DNA拓扑和在DNA复制、修复和转录中关键的酶。莫西沙星表现为浓度依赖性的杀菌活性。最低杀菌浓度和最低抑菌浓度基本一致。包括莫西沙星在内的喹诺酮类药物的作用机制不同于大环内酯类、氨基糖苷类和四环素类抗菌素。莫西沙星和这些抗菌药间无交叉耐药性。在全身应用的莫西沙星和一些其他喹诺酮类药物之间可以观察到交叉耐药性。莫西沙星的体外耐药性发展经过多重突变。 革兰氏阳性菌对莫西沙星体外耐药性的发生频率通常在1.8X 10至&lt;1X 10之间。</w:t>
      </w:r>
    </w:p>
    <w:p>
      <w:pPr>
        <w:widowControl/>
        <w:spacing w:line="225" w:lineRule="atLeast"/>
        <w:jc w:val="left"/>
        <w:rPr>
          <w:rFonts w:ascii="Times New Roman" w:hAnsi="Times New Roman" w:eastAsia="宋体" w:cs="Times New Roman"/>
          <w:bCs/>
          <w:szCs w:val="21"/>
        </w:rPr>
      </w:pPr>
      <w:r>
        <w:rPr>
          <w:rFonts w:hint="eastAsia" w:ascii="黑体" w:hAnsi="黑体" w:eastAsia="黑体" w:cs="Times New Roman"/>
          <w:b/>
          <w:bCs/>
          <w:kern w:val="0"/>
          <w:szCs w:val="21"/>
        </w:rPr>
        <w:t>【适应证】</w:t>
      </w:r>
      <w:r>
        <w:rPr>
          <w:rFonts w:hint="eastAsia" w:ascii="Times New Roman" w:hAnsi="Times New Roman" w:eastAsia="宋体" w:cs="Times New Roman"/>
          <w:bCs/>
          <w:szCs w:val="21"/>
        </w:rPr>
        <w:t>用于治疗下列敏感微生物引起的细菌性结膜炎和角膜炎:葡萄球菌、链球菌、干内杆菌、嗜血杆菌、肺炎克雷伯氏菌、大肠杆菌、丙酸杆菌、肠球菌和衣原体等。</w:t>
      </w:r>
    </w:p>
    <w:p>
      <w:pPr>
        <w:widowControl/>
        <w:spacing w:line="225" w:lineRule="atLeast"/>
        <w:jc w:val="left"/>
        <w:rPr>
          <w:rFonts w:ascii="Times New Roman" w:hAnsi="Times New Roman" w:eastAsia="宋体" w:cs="Times New Roman"/>
          <w:bCs/>
          <w:szCs w:val="21"/>
        </w:rPr>
      </w:pPr>
      <w:r>
        <w:rPr>
          <w:rFonts w:hint="eastAsia" w:ascii="黑体" w:hAnsi="黑体" w:eastAsia="黑体" w:cs="Times New Roman"/>
          <w:b/>
          <w:bCs/>
          <w:kern w:val="0"/>
          <w:szCs w:val="21"/>
        </w:rPr>
        <w:t>【用法与用量】</w:t>
      </w:r>
      <w:r>
        <w:rPr>
          <w:rFonts w:hint="eastAsia" w:ascii="Times New Roman" w:hAnsi="Times New Roman" w:eastAsia="宋体" w:cs="Times New Roman"/>
          <w:bCs/>
          <w:szCs w:val="21"/>
        </w:rPr>
        <w:t>患眼每次滴入1滴，每日2-3次，连续使用7天。</w:t>
      </w:r>
    </w:p>
    <w:p>
      <w:pPr>
        <w:widowControl/>
        <w:spacing w:line="225" w:lineRule="atLeast"/>
        <w:jc w:val="left"/>
        <w:rPr>
          <w:rFonts w:ascii="Times New Roman" w:hAnsi="Times New Roman" w:eastAsia="宋体" w:cs="Times New Roman"/>
          <w:bCs/>
          <w:szCs w:val="21"/>
        </w:rPr>
      </w:pPr>
      <w:r>
        <w:rPr>
          <w:rFonts w:hint="eastAsia" w:ascii="黑体" w:hAnsi="黑体" w:eastAsia="黑体" w:cs="Times New Roman"/>
          <w:b/>
          <w:bCs/>
          <w:kern w:val="0"/>
          <w:szCs w:val="21"/>
        </w:rPr>
        <w:t>【不良反应】</w:t>
      </w:r>
      <w:r>
        <w:rPr>
          <w:rFonts w:hint="eastAsia" w:ascii="Times New Roman" w:hAnsi="Times New Roman" w:eastAsia="宋体" w:cs="Times New Roman"/>
          <w:bCs/>
          <w:szCs w:val="21"/>
        </w:rPr>
        <w:t>在莫西沙星的配液的临床试验中，报告出现了下列不良反应，提据惯用方法将以下不良反应归类:非常常见(≥1/10)，常见(≥1/100至&lt;1/10) ,不常见(≥1/1000至(＜1/100) ,罕见 (≥1/0000至&lt;1/1000)，非常罕见(&lt;1/10000) .在每一个频率组，不良反应按照严重程度递减顺序列出。</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5"/>
        <w:gridCol w:w="5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系统器官分类</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血液及淋巴系统疾病</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罕见：血红蛋白减少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神经系统疾病</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不常见：头痛，罕见：感觉异常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眼部疾病</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常见眼痛、眼刺激</w:t>
            </w:r>
          </w:p>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不常见：点状角膜炎、眼干、结膜出血、眼部充血、眼 部瘙痒、眼睑水肿、眼部不适</w:t>
            </w:r>
          </w:p>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罕见：角膜上皮缺损、角膜疾病、结膜炎、险缘炎、眼 部肿胀、结膜水肿、视物模糊、视力下降、眼疲劳、眼睑红斑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呼吸系统、胸腔、纵膈 疾病</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罕见：鼻部不适、咽喉疼痛、异物感（咽喉）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胃肠道疾病</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不常见：味觉障碍 罕见：呕吐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5"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肝胆异常</w:t>
            </w:r>
          </w:p>
        </w:tc>
        <w:tc>
          <w:tcPr>
            <w:tcW w:w="5337"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罕见：丙氨酸转氨酶升高、谷氨酰胺转移酶升高</w:t>
            </w:r>
          </w:p>
        </w:tc>
      </w:tr>
    </w:tbl>
    <w:p>
      <w:pPr>
        <w:widowControl/>
        <w:spacing w:line="225" w:lineRule="atLeast"/>
        <w:jc w:val="left"/>
        <w:rPr>
          <w:rFonts w:ascii="Times New Roman" w:hAnsi="Times New Roman" w:eastAsia="宋体" w:cs="Times New Roman"/>
          <w:bCs/>
          <w:szCs w:val="21"/>
        </w:rPr>
      </w:pPr>
    </w:p>
    <w:p>
      <w:pPr>
        <w:widowControl/>
        <w:spacing w:line="225" w:lineRule="atLeast"/>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上市后监测过程中发现的其他不良反应包括如下一些。根据现有的数据尚不能推测发生评率。在每一个系统器官分类内，副作用按严重程度下降的顺序排列。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9"/>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系统器官分类</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免疫系统疾病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神经系统疾病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头晕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眼部疾病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溃疡性角膜炎、角膜炎、流泪增多、畏光、眼部分泌物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心血管疾病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心悸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呼吸系统、胸腔及纵膈疾病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胃肠道疾病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恶心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9"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皮肤及皮下组织疾病</w:t>
            </w:r>
          </w:p>
        </w:tc>
        <w:tc>
          <w:tcPr>
            <w:tcW w:w="5013" w:type="dxa"/>
          </w:tcPr>
          <w:p>
            <w:pPr>
              <w:widowControl/>
              <w:spacing w:line="225" w:lineRule="atLeast"/>
              <w:jc w:val="left"/>
              <w:rPr>
                <w:rFonts w:ascii="Times New Roman" w:hAnsi="Times New Roman" w:eastAsia="宋体" w:cs="Times New Roman"/>
                <w:bCs/>
                <w:kern w:val="2"/>
                <w:sz w:val="21"/>
                <w:szCs w:val="21"/>
              </w:rPr>
            </w:pPr>
            <w:r>
              <w:rPr>
                <w:rFonts w:hint="eastAsia" w:ascii="Times New Roman" w:hAnsi="Times New Roman" w:eastAsia="宋体" w:cs="Times New Roman"/>
                <w:bCs/>
                <w:kern w:val="2"/>
                <w:sz w:val="21"/>
                <w:szCs w:val="21"/>
              </w:rPr>
              <w:t>红疹、瘙痒、皮疹、荨麻疹</w:t>
            </w:r>
          </w:p>
        </w:tc>
      </w:tr>
    </w:tbl>
    <w:p>
      <w:pPr>
        <w:widowControl/>
        <w:spacing w:line="225" w:lineRule="atLeast"/>
        <w:jc w:val="left"/>
        <w:rPr>
          <w:rFonts w:ascii="Times New Roman" w:hAnsi="Times New Roman" w:eastAsia="宋体" w:cs="Times New Roman"/>
          <w:bCs/>
          <w:szCs w:val="21"/>
        </w:rPr>
      </w:pPr>
    </w:p>
    <w:p>
      <w:pPr>
        <w:widowControl/>
        <w:spacing w:line="225" w:lineRule="atLeast"/>
        <w:jc w:val="left"/>
        <w:rPr>
          <w:rFonts w:ascii="宋体" w:hAnsi="宋体" w:eastAsia="宋体" w:cs="宋体"/>
          <w:color w:val="333333"/>
          <w:sz w:val="28"/>
          <w:szCs w:val="28"/>
        </w:rPr>
      </w:pPr>
      <w:r>
        <w:rPr>
          <w:rFonts w:hint="eastAsia" w:ascii="黑体" w:hAnsi="黑体" w:eastAsia="黑体" w:cs="Times New Roman"/>
          <w:b/>
          <w:bCs/>
          <w:kern w:val="0"/>
          <w:szCs w:val="21"/>
        </w:rPr>
        <w:t>【禁</w:t>
      </w:r>
      <w:r>
        <w:rPr>
          <w:rFonts w:hint="eastAsia" w:ascii="宋体" w:hAnsi="宋体" w:eastAsia="宋体" w:cs="宋体"/>
          <w:b/>
          <w:bCs/>
          <w:kern w:val="0"/>
          <w:szCs w:val="21"/>
        </w:rPr>
        <w:t>  </w:t>
      </w:r>
      <w:r>
        <w:rPr>
          <w:rFonts w:hint="eastAsia" w:ascii="黑体" w:hAnsi="黑体" w:eastAsia="黑体" w:cs="Times New Roman"/>
          <w:b/>
          <w:bCs/>
          <w:kern w:val="0"/>
          <w:szCs w:val="21"/>
        </w:rPr>
        <w:t>忌】</w:t>
      </w:r>
      <w:r>
        <w:rPr>
          <w:rFonts w:hint="eastAsia" w:ascii="Times New Roman" w:hAnsi="Times New Roman" w:eastAsia="宋体" w:cs="Times New Roman"/>
          <w:bCs/>
          <w:szCs w:val="21"/>
        </w:rPr>
        <w:t>禁用于对莫西沙星、其它喹诺酮类药物或此药物中任何成份过敏的患病动物。</w:t>
      </w:r>
    </w:p>
    <w:p>
      <w:pPr>
        <w:widowControl/>
        <w:spacing w:line="225" w:lineRule="atLeast"/>
        <w:jc w:val="left"/>
        <w:rPr>
          <w:rFonts w:ascii="Times New Roman" w:hAnsi="Times New Roman" w:eastAsia="宋体" w:cs="Times New Roman"/>
          <w:bCs/>
          <w:szCs w:val="21"/>
        </w:rPr>
      </w:pPr>
      <w:r>
        <w:rPr>
          <w:rFonts w:hint="eastAsia" w:ascii="黑体" w:hAnsi="黑体" w:eastAsia="黑体" w:cs="Times New Roman"/>
          <w:b/>
          <w:bCs/>
          <w:kern w:val="0"/>
          <w:szCs w:val="21"/>
        </w:rPr>
        <w:t>【注意事项】</w:t>
      </w:r>
      <w:r>
        <w:rPr>
          <w:rFonts w:hint="eastAsia" w:ascii="Times New Roman" w:hAnsi="Times New Roman" w:eastAsia="宋体" w:cs="Times New Roman"/>
          <w:bCs/>
          <w:szCs w:val="21"/>
        </w:rPr>
        <w:t>1.不得注射。仅用于局部滴眼，不得结膜下注射或直接注射入眼前房。</w:t>
      </w:r>
    </w:p>
    <w:p>
      <w:pPr>
        <w:widowControl/>
        <w:spacing w:line="225" w:lineRule="atLeast"/>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2.如果发生莫西沙星(包括滴眼液)过敏性反应，应该停止使用该药物，如出现红疹或其他过敏反应应及时告知医生。严重的急性过敏反应可能需要立即进行抢救。根据临床指征，给与氧气及气道处理。</w:t>
      </w:r>
    </w:p>
    <w:p>
      <w:pPr>
        <w:widowControl/>
        <w:spacing w:line="225" w:lineRule="atLeast"/>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3.与其它抗感染药物一样，长期使用可能导致非敏感微生物的过度生长，包括真菌。如果发生二重感染，请停止使用药物并实行替代治疗。在临床判断要求时，患病动物应借助于放大检查，如裂隙灯生物显微镜检查以及在适当情况下的荧光素染色检查。</w:t>
      </w:r>
    </w:p>
    <w:p>
      <w:pPr>
        <w:widowControl/>
        <w:spacing w:line="225" w:lineRule="atLeast"/>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4.应当避免滴瓶头部触碰患病动物任何地方《以避免污染内容物)，如果同时还使用其它眼药水，应当距离使用本品的时间间隔应不少于5分钟。</w:t>
      </w:r>
    </w:p>
    <w:p>
      <w:pPr>
        <w:widowControl/>
        <w:spacing w:line="225" w:lineRule="atLeast"/>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5.开封后，如果瓶口明显断裂或松动，则不要使用。</w:t>
      </w:r>
    </w:p>
    <w:p>
      <w:pPr>
        <w:widowControl/>
        <w:spacing w:line="225" w:lineRule="atLeast"/>
        <w:ind w:firstLine="420" w:firstLineChars="200"/>
        <w:jc w:val="left"/>
        <w:rPr>
          <w:rFonts w:ascii="Times New Roman" w:hAnsi="Times New Roman" w:eastAsia="宋体" w:cs="Times New Roman"/>
          <w:bCs/>
          <w:szCs w:val="21"/>
        </w:rPr>
      </w:pPr>
      <w:r>
        <w:rPr>
          <w:rFonts w:hint="eastAsia" w:ascii="Times New Roman" w:hAnsi="Times New Roman" w:eastAsia="宋体" w:cs="Times New Roman"/>
          <w:bCs/>
          <w:szCs w:val="21"/>
        </w:rPr>
        <w:t>6.暂时性的视物模糊或其它视力障碍。</w:t>
      </w:r>
    </w:p>
    <w:p>
      <w:pPr>
        <w:widowControl/>
        <w:adjustRightInd w:val="0"/>
        <w:snapToGrid w:val="0"/>
        <w:spacing w:line="276" w:lineRule="auto"/>
        <w:ind w:right="150"/>
        <w:rPr>
          <w:rFonts w:ascii="Times New Roman" w:hAnsi="Times New Roman" w:eastAsia="宋体" w:cs="Times New Roman"/>
          <w:bCs/>
          <w:szCs w:val="21"/>
        </w:rPr>
      </w:pPr>
      <w:r>
        <w:rPr>
          <w:rFonts w:ascii="黑体" w:hAnsi="黑体" w:eastAsia="黑体" w:cs="Times New Roman"/>
          <w:b/>
          <w:bCs/>
          <w:kern w:val="0"/>
          <w:szCs w:val="21"/>
        </w:rPr>
        <w:t>【规格】</w:t>
      </w:r>
      <w:r>
        <w:rPr>
          <w:rFonts w:hint="eastAsia" w:ascii="Times New Roman" w:hAnsi="Times New Roman" w:eastAsia="宋体" w:cs="Times New Roman"/>
          <w:bCs/>
          <w:szCs w:val="21"/>
        </w:rPr>
        <w:t>0.5%</w:t>
      </w:r>
    </w:p>
    <w:p>
      <w:pPr>
        <w:widowControl/>
        <w:adjustRightInd w:val="0"/>
        <w:snapToGrid w:val="0"/>
        <w:spacing w:line="276" w:lineRule="auto"/>
        <w:ind w:right="150"/>
        <w:rPr>
          <w:rFonts w:ascii="Times New Roman" w:hAnsi="Times New Roman" w:eastAsia="宋体" w:cs="Times New Roman"/>
          <w:bCs/>
          <w:sz w:val="24"/>
          <w:szCs w:val="21"/>
        </w:rPr>
      </w:pPr>
      <w:r>
        <w:rPr>
          <w:rFonts w:ascii="黑体" w:hAnsi="黑体" w:eastAsia="黑体" w:cs="Times New Roman"/>
          <w:b/>
          <w:bCs/>
          <w:kern w:val="0"/>
          <w:szCs w:val="21"/>
        </w:rPr>
        <w:t>【包装】</w:t>
      </w:r>
    </w:p>
    <w:p>
      <w:pPr>
        <w:widowControl/>
        <w:spacing w:line="225" w:lineRule="atLeast"/>
        <w:jc w:val="left"/>
        <w:rPr>
          <w:rFonts w:ascii="Times New Roman" w:hAnsi="Times New Roman" w:eastAsia="宋体" w:cs="Times New Roman"/>
          <w:szCs w:val="21"/>
        </w:rPr>
      </w:pPr>
      <w:r>
        <w:rPr>
          <w:rFonts w:ascii="黑体" w:hAnsi="黑体" w:eastAsia="黑体" w:cs="Times New Roman"/>
          <w:b/>
          <w:bCs/>
          <w:kern w:val="0"/>
          <w:szCs w:val="21"/>
        </w:rPr>
        <w:t>【贮藏】</w:t>
      </w:r>
      <w:r>
        <w:rPr>
          <w:rFonts w:hint="eastAsia" w:ascii="Times New Roman" w:hAnsi="Times New Roman" w:eastAsia="宋体" w:cs="Times New Roman"/>
          <w:bCs/>
          <w:szCs w:val="21"/>
        </w:rPr>
        <w:t>不超过25℃保存。</w:t>
      </w:r>
    </w:p>
    <w:p>
      <w:pPr>
        <w:adjustRightInd w:val="0"/>
        <w:snapToGrid w:val="0"/>
        <w:spacing w:line="276" w:lineRule="auto"/>
        <w:rPr>
          <w:rFonts w:ascii="Times New Roman" w:hAnsi="Times New Roman" w:eastAsia="宋体" w:cs="Times New Roman"/>
          <w:szCs w:val="21"/>
        </w:rPr>
      </w:pPr>
      <w:r>
        <w:rPr>
          <w:rFonts w:ascii="黑体" w:hAnsi="黑体" w:eastAsia="黑体" w:cs="Times New Roman"/>
          <w:b/>
          <w:bCs/>
          <w:kern w:val="0"/>
          <w:szCs w:val="21"/>
        </w:rPr>
        <w:t>【有效期】</w:t>
      </w:r>
      <w:r>
        <w:rPr>
          <w:rFonts w:hint="eastAsia" w:ascii="Times New Roman" w:hAnsi="Times New Roman" w:eastAsia="宋体" w:cs="Times New Roman"/>
          <w:bCs/>
          <w:szCs w:val="21"/>
        </w:rPr>
        <w:t>24个月，本品开封后请在28天内使用，过期应丢弃。</w:t>
      </w:r>
    </w:p>
    <w:p>
      <w:pPr>
        <w:adjustRightInd w:val="0"/>
        <w:snapToGrid w:val="0"/>
        <w:spacing w:line="276" w:lineRule="auto"/>
        <w:ind w:right="-946"/>
        <w:rPr>
          <w:rFonts w:ascii="黑体" w:hAnsi="黑体" w:eastAsia="黑体" w:cs="Times New Roman"/>
          <w:kern w:val="0"/>
          <w:szCs w:val="21"/>
        </w:rPr>
      </w:pPr>
      <w:r>
        <w:rPr>
          <w:rFonts w:ascii="黑体" w:hAnsi="黑体" w:eastAsia="黑体" w:cs="Times New Roman"/>
          <w:b/>
          <w:bCs/>
          <w:kern w:val="0"/>
          <w:szCs w:val="21"/>
        </w:rPr>
        <w:t>【批准文号】</w:t>
      </w:r>
      <w:r>
        <w:rPr>
          <w:rFonts w:ascii="黑体" w:hAnsi="黑体" w:eastAsia="黑体" w:cs="Times New Roman"/>
          <w:kern w:val="0"/>
          <w:szCs w:val="21"/>
        </w:rPr>
        <w:t xml:space="preserve"> </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
      <w:pPr>
        <w:rPr>
          <w:rFonts w:ascii="黑体" w:hAnsi="黑体" w:eastAsia="黑体"/>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r>
        <w:rPr>
          <w:rFonts w:hint="eastAsia" w:ascii="宋体" w:hAnsi="宋体" w:eastAsia="宋体" w:cs="Times New Roman"/>
          <w:b/>
          <w:bCs/>
          <w:color w:val="000000" w:themeColor="text1"/>
          <w:szCs w:val="22"/>
          <w14:textFill>
            <w14:solidFill>
              <w14:schemeClr w14:val="tx1"/>
            </w14:solidFill>
          </w14:textFill>
        </w:rPr>
        <w:t>氧氟沙星滴眼液说明书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【兽药名称】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通用名称：氧氟沙星滴眼液</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商品名称：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英文名称：</w:t>
      </w:r>
      <w:r>
        <w:rPr>
          <w:rFonts w:ascii="Times New Roman" w:hAnsi="Times New Roman" w:eastAsia="宋体" w:cs="Times New Roman"/>
          <w:color w:val="000000" w:themeColor="text1"/>
          <w:szCs w:val="22"/>
          <w14:textFill>
            <w14:solidFill>
              <w14:schemeClr w14:val="tx1"/>
            </w14:solidFill>
          </w14:textFill>
        </w:rPr>
        <w:t>O</w:t>
      </w:r>
      <w:r>
        <w:rPr>
          <w:rFonts w:hint="eastAsia" w:ascii="Times New Roman" w:hAnsi="Times New Roman" w:eastAsia="宋体" w:cs="Times New Roman"/>
          <w:color w:val="000000" w:themeColor="text1"/>
          <w:szCs w:val="22"/>
          <w14:textFill>
            <w14:solidFill>
              <w14:schemeClr w14:val="tx1"/>
            </w14:solidFill>
          </w14:textFill>
        </w:rPr>
        <w:t>floxacin Eye Drops</w:t>
      </w:r>
    </w:p>
    <w:p>
      <w:pPr>
        <w:adjustRightInd w:val="0"/>
        <w:snapToGrid w:val="0"/>
        <w:spacing w:line="276" w:lineRule="auto"/>
        <w:ind w:firstLine="420" w:firstLineChars="200"/>
        <w:rPr>
          <w:rFonts w:ascii="Times New Roman" w:hAnsi="Times New Roman"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汉语拼音：</w:t>
      </w:r>
      <w:r>
        <w:rPr>
          <w:rFonts w:ascii="Times New Roman" w:hAnsi="Times New Roman" w:eastAsia="宋体" w:cs="Times New Roman"/>
          <w:color w:val="000000" w:themeColor="text1"/>
          <w:szCs w:val="22"/>
          <w14:textFill>
            <w14:solidFill>
              <w14:schemeClr w14:val="tx1"/>
            </w14:solidFill>
          </w14:textFill>
        </w:rPr>
        <w:t>Yangfushaxing Diyanye</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【主要成分】</w:t>
      </w:r>
      <w:r>
        <w:rPr>
          <w:rFonts w:hint="eastAsia" w:ascii="黑体" w:hAnsi="黑体" w:eastAsia="黑体" w:cs="Times New Roman"/>
          <w:szCs w:val="22"/>
        </w:rPr>
        <w:t xml:space="preserve"> </w:t>
      </w:r>
      <w:r>
        <w:rPr>
          <w:rFonts w:hint="eastAsia" w:ascii="宋体" w:hAnsi="宋体" w:eastAsia="宋体" w:cs="Times New Roman"/>
          <w:szCs w:val="22"/>
        </w:rPr>
        <w:t>氧氟沙星</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【性状】</w:t>
      </w:r>
      <w:r>
        <w:rPr>
          <w:rFonts w:ascii="宋体" w:hAnsi="宋体" w:eastAsia="宋体" w:cs="Times New Roman"/>
          <w:szCs w:val="22"/>
        </w:rPr>
        <w:t xml:space="preserve"> </w:t>
      </w:r>
      <w:r>
        <w:rPr>
          <w:rFonts w:hint="eastAsia" w:ascii="宋体" w:hAnsi="宋体" w:eastAsia="宋体" w:cs="Times New Roman"/>
          <w:szCs w:val="22"/>
        </w:rPr>
        <w:t>本品为淡黄色或淡黄绿色的澄明液体</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【药理作用】</w:t>
      </w:r>
      <w:r>
        <w:rPr>
          <w:rFonts w:hint="eastAsia" w:ascii="宋体" w:hAnsi="宋体" w:eastAsia="宋体" w:cs="Times New Roman"/>
          <w:szCs w:val="22"/>
        </w:rPr>
        <w:t xml:space="preserve"> </w:t>
      </w:r>
      <w:r>
        <w:rPr>
          <w:rFonts w:hint="eastAsia" w:ascii="Times New Roman" w:hAnsi="Times New Roman" w:eastAsia="宋体" w:cs="Times New Roman"/>
          <w:szCs w:val="22"/>
        </w:rPr>
        <w:t>通过抑制细菌的</w:t>
      </w:r>
      <w:r>
        <w:rPr>
          <w:rFonts w:ascii="Times New Roman" w:hAnsi="Times New Roman" w:eastAsia="宋体" w:cs="Times New Roman"/>
          <w:szCs w:val="22"/>
        </w:rPr>
        <w:t>DNA旋转酶和DNA复制而发挥作用。由于其独特的作用机理，具有抗菌谱广、抗菌活性强的特点，对革兰氏阴性菌、阳性菌群均有较强的抗菌作用。对葡萄球菌、化脓性链球菌、溶血性链球菌、肠球菌、肺炎球菌、大肠杆菌、柠檬酸细菌属、肺炎杆菌、肠菌属、沙雷氏菌属、变形杆菌属、铜绿假单细胞菌、流感嗜血杆菌、不动杆菌属、弯曲杆菌属、衣原体属敏感性菌种等感染有效。本品与其他类抗菌药未见交叉耐药性。。</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【药物相互作用】</w:t>
      </w:r>
      <w:r>
        <w:rPr>
          <w:rFonts w:hint="eastAsia" w:ascii="宋体" w:hAnsi="宋体" w:eastAsia="宋体" w:cs="Times New Roman"/>
          <w:szCs w:val="22"/>
        </w:rPr>
        <w:t xml:space="preserve"> 氧氟沙星与抗凝剂之间的相互作用不明显，本品与头孢噻肟、甲硝唑、克林霉素、环孢菌素等同用后，各药物的药动学过程均无明显改变。</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【作用与用途】</w:t>
      </w:r>
      <w:r>
        <w:rPr>
          <w:rFonts w:hint="eastAsia" w:ascii="黑体" w:hAnsi="黑体" w:eastAsia="黑体" w:cs="Times New Roman"/>
          <w:szCs w:val="22"/>
        </w:rPr>
        <w:t xml:space="preserve"> </w:t>
      </w:r>
      <w:r>
        <w:rPr>
          <w:rFonts w:hint="eastAsia" w:ascii="宋体" w:hAnsi="宋体" w:eastAsia="宋体" w:cs="Times New Roman"/>
          <w:szCs w:val="22"/>
        </w:rPr>
        <w:t>喹诺酮类抗菌药。用于治疗细菌性结膜炎和角膜炎。</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【用法与用量】</w:t>
      </w:r>
      <w:r>
        <w:rPr>
          <w:rFonts w:ascii="黑体" w:hAnsi="黑体" w:eastAsia="黑体" w:cs="Times New Roman"/>
          <w:b/>
          <w:bCs/>
          <w:kern w:val="0"/>
          <w:szCs w:val="21"/>
        </w:rPr>
        <w:t xml:space="preserve"> </w:t>
      </w:r>
      <w:r>
        <w:rPr>
          <w:rFonts w:hint="eastAsia" w:ascii="宋体" w:hAnsi="宋体" w:eastAsia="宋体" w:cs="Times New Roman"/>
          <w:szCs w:val="22"/>
        </w:rPr>
        <w:t>眼部外用。</w:t>
      </w:r>
      <w:r>
        <w:rPr>
          <w:rFonts w:ascii="Times New Roman" w:hAnsi="Times New Roman" w:eastAsia="宋体" w:cs="Times New Roman"/>
          <w:szCs w:val="22"/>
        </w:rPr>
        <w:t>每</w:t>
      </w:r>
      <w:r>
        <w:rPr>
          <w:rFonts w:hint="eastAsia" w:ascii="Times New Roman" w:hAnsi="Times New Roman" w:eastAsia="宋体" w:cs="Times New Roman"/>
          <w:szCs w:val="22"/>
        </w:rPr>
        <w:t>1</w:t>
      </w:r>
      <w:r>
        <w:rPr>
          <w:rFonts w:hint="eastAsia" w:ascii="宋体" w:hAnsi="宋体" w:eastAsia="宋体" w:cs="Times New Roman"/>
          <w:szCs w:val="22"/>
        </w:rPr>
        <w:t>～</w:t>
      </w:r>
      <w:r>
        <w:rPr>
          <w:rFonts w:ascii="Times New Roman" w:hAnsi="Times New Roman" w:eastAsia="宋体" w:cs="Times New Roman"/>
          <w:szCs w:val="22"/>
        </w:rPr>
        <w:t>6</w:t>
      </w:r>
      <w:r>
        <w:rPr>
          <w:rFonts w:hint="eastAsia" w:ascii="Times New Roman" w:hAnsi="Times New Roman" w:eastAsia="宋体" w:cs="Times New Roman"/>
          <w:szCs w:val="22"/>
        </w:rPr>
        <w:t>小时1</w:t>
      </w:r>
      <w:r>
        <w:rPr>
          <w:rFonts w:ascii="Times New Roman" w:hAnsi="Times New Roman" w:eastAsia="宋体" w:cs="Times New Roman"/>
          <w:szCs w:val="22"/>
        </w:rPr>
        <w:t>次，</w:t>
      </w:r>
      <w:r>
        <w:rPr>
          <w:rFonts w:hint="eastAsia" w:ascii="Times New Roman" w:hAnsi="Times New Roman" w:eastAsia="宋体" w:cs="Times New Roman"/>
          <w:szCs w:val="22"/>
        </w:rPr>
        <w:t>每</w:t>
      </w:r>
      <w:r>
        <w:rPr>
          <w:rFonts w:ascii="Times New Roman" w:hAnsi="Times New Roman" w:eastAsia="宋体" w:cs="Times New Roman"/>
          <w:szCs w:val="22"/>
        </w:rPr>
        <w:t>次1</w:t>
      </w:r>
      <w:r>
        <w:rPr>
          <w:rFonts w:hint="eastAsia" w:ascii="宋体" w:hAnsi="宋体" w:eastAsia="宋体" w:cs="Times New Roman"/>
          <w:szCs w:val="22"/>
        </w:rPr>
        <w:t>～</w:t>
      </w:r>
      <w:r>
        <w:rPr>
          <w:rFonts w:ascii="Times New Roman" w:hAnsi="Times New Roman" w:eastAsia="宋体" w:cs="Times New Roman"/>
          <w:szCs w:val="22"/>
        </w:rPr>
        <w:t>2滴。</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【不良反应】</w:t>
      </w:r>
      <w:r>
        <w:rPr>
          <w:rFonts w:ascii="宋体" w:hAnsi="宋体" w:eastAsia="宋体" w:cs="Times New Roman"/>
          <w:szCs w:val="22"/>
        </w:rPr>
        <w:t xml:space="preserve"> </w:t>
      </w:r>
      <w:r>
        <w:rPr>
          <w:rFonts w:hint="eastAsia" w:ascii="宋体" w:hAnsi="宋体" w:eastAsia="宋体" w:cs="Times New Roman"/>
          <w:szCs w:val="22"/>
        </w:rPr>
        <w:t xml:space="preserve">按规定的用法用量使用尚未见不良反应。 </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【注意事项】</w:t>
      </w:r>
      <w:r>
        <w:rPr>
          <w:rFonts w:hint="eastAsia" w:ascii="Times New Roman" w:hAnsi="Times New Roman" w:eastAsia="黑体" w:cs="Times New Roman"/>
          <w:szCs w:val="22"/>
        </w:rPr>
        <w:t xml:space="preserve"> </w:t>
      </w:r>
      <w:r>
        <w:rPr>
          <w:rFonts w:ascii="Times New Roman" w:hAnsi="Times New Roman" w:eastAsia="宋体" w:cs="Times New Roman"/>
          <w:szCs w:val="22"/>
        </w:rPr>
        <w:t>1.</w:t>
      </w:r>
      <w:r>
        <w:rPr>
          <w:rFonts w:hint="eastAsia" w:ascii="Times New Roman" w:hAnsi="Times New Roman" w:eastAsia="宋体" w:cs="Times New Roman"/>
          <w:szCs w:val="22"/>
        </w:rPr>
        <w:t>对氟喹诺酮类药物过敏的动物不得使用。</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2</w:t>
      </w:r>
      <w:r>
        <w:rPr>
          <w:rFonts w:ascii="Times New Roman" w:hAnsi="Times New Roman" w:eastAsia="宋体" w:cs="Times New Roman"/>
          <w:szCs w:val="22"/>
        </w:rPr>
        <w:t>.</w:t>
      </w:r>
      <w:r>
        <w:rPr>
          <w:rFonts w:hint="eastAsia" w:ascii="Times New Roman" w:hAnsi="Times New Roman" w:eastAsia="宋体" w:cs="Times New Roman"/>
          <w:szCs w:val="22"/>
        </w:rPr>
        <w:t>长期使用本品可能导致非易感生物的过度生长。</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3.</w:t>
      </w:r>
      <w:r>
        <w:rPr>
          <w:rFonts w:hint="eastAsia" w:ascii="Times New Roman" w:hAnsi="Times New Roman" w:eastAsia="宋体" w:cs="Times New Roman"/>
          <w:szCs w:val="22"/>
        </w:rPr>
        <w:t>监测对治疗的反应。如果在</w:t>
      </w:r>
      <w:r>
        <w:rPr>
          <w:rFonts w:ascii="Times New Roman" w:hAnsi="Times New Roman" w:eastAsia="宋体" w:cs="Times New Roman"/>
          <w:szCs w:val="22"/>
        </w:rPr>
        <w:t>7</w:t>
      </w:r>
      <w:r>
        <w:rPr>
          <w:rFonts w:hint="eastAsia" w:ascii="宋体" w:hAnsi="宋体" w:eastAsia="宋体" w:cs="Times New Roman"/>
          <w:szCs w:val="22"/>
        </w:rPr>
        <w:t>～</w:t>
      </w:r>
      <w:r>
        <w:rPr>
          <w:rFonts w:ascii="Times New Roman" w:hAnsi="Times New Roman" w:eastAsia="宋体" w:cs="Times New Roman"/>
          <w:szCs w:val="22"/>
        </w:rPr>
        <w:t>10天内没有改善，感染可能是由对氧氟沙星不敏感的微生物引起的，应考虑替代疗法</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4.</w:t>
      </w:r>
      <w:r>
        <w:rPr>
          <w:rFonts w:hint="eastAsia" w:ascii="Times New Roman" w:hAnsi="Times New Roman" w:eastAsia="宋体" w:cs="Times New Roman"/>
          <w:szCs w:val="22"/>
        </w:rPr>
        <w:t>滴眼液仅供眼局部使用；不要进行结膜下注射或引入眼睛前房。</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 xml:space="preserve">【规格】 </w:t>
      </w:r>
      <w:r>
        <w:rPr>
          <w:rFonts w:hint="eastAsia" w:ascii="Times New Roman" w:hAnsi="Times New Roman" w:eastAsia="宋体" w:cs="Times New Roman"/>
          <w:szCs w:val="22"/>
        </w:rPr>
        <w:t>（1）</w:t>
      </w:r>
      <w:r>
        <w:rPr>
          <w:rFonts w:ascii="Times New Roman" w:hAnsi="Times New Roman" w:eastAsia="宋体" w:cs="Times New Roman"/>
          <w:szCs w:val="22"/>
        </w:rPr>
        <w:t>5ml</w:t>
      </w:r>
      <w:r>
        <w:rPr>
          <w:rFonts w:hint="eastAsia" w:ascii="宋体" w:hAnsi="宋体" w:eastAsia="宋体" w:cs="Times New Roman"/>
          <w:szCs w:val="22"/>
        </w:rPr>
        <w:t>︰</w:t>
      </w:r>
      <w:r>
        <w:rPr>
          <w:rFonts w:ascii="Times New Roman" w:hAnsi="Times New Roman" w:eastAsia="宋体" w:cs="Times New Roman"/>
          <w:szCs w:val="22"/>
        </w:rPr>
        <w:t>15mg （2）8ml︰24mg （3）10ml︰30mg</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【包装】 </w:t>
      </w:r>
      <w:r>
        <w:rPr>
          <w:rFonts w:ascii="Times New Roman" w:hAnsi="Times New Roman" w:eastAsia="宋体" w:cs="Times New Roman"/>
          <w:szCs w:val="22"/>
        </w:rPr>
        <w:t>5ml/</w:t>
      </w:r>
      <w:r>
        <w:rPr>
          <w:rFonts w:hint="eastAsia" w:ascii="Times New Roman" w:hAnsi="Times New Roman" w:eastAsia="宋体" w:cs="Times New Roman"/>
          <w:szCs w:val="22"/>
        </w:rPr>
        <w:t>支</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【贮藏】</w:t>
      </w:r>
      <w:r>
        <w:rPr>
          <w:rFonts w:ascii="Times New Roman" w:hAnsi="Times New Roman" w:eastAsia="宋体" w:cs="Times New Roman"/>
          <w:szCs w:val="22"/>
        </w:rPr>
        <w:t> </w:t>
      </w:r>
      <w:r>
        <w:rPr>
          <w:rFonts w:hint="eastAsia" w:ascii="Times New Roman" w:hAnsi="Times New Roman" w:eastAsia="宋体" w:cs="Times New Roman"/>
          <w:szCs w:val="22"/>
        </w:rPr>
        <w:t>遮光，密封保存</w:t>
      </w:r>
      <w:r>
        <w:rPr>
          <w:rFonts w:ascii="Times New Roman" w:hAnsi="Times New Roman" w:eastAsia="宋体" w:cs="Times New Roman"/>
          <w:szCs w:val="22"/>
        </w:rPr>
        <w:t>。</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【有效期】 </w:t>
      </w:r>
      <w:r>
        <w:rPr>
          <w:rFonts w:ascii="Times New Roman" w:hAnsi="Times New Roman" w:eastAsia="宋体" w:cs="Times New Roman"/>
          <w:szCs w:val="22"/>
        </w:rPr>
        <w:t>24个月</w:t>
      </w:r>
    </w:p>
    <w:p>
      <w:pPr>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【批准文号】</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p>
    <w:p>
      <w:pPr>
        <w:widowControl/>
        <w:shd w:val="clear" w:color="auto" w:fill="FFFFFF"/>
        <w:adjustRightInd w:val="0"/>
        <w:snapToGrid w:val="0"/>
        <w:spacing w:line="276" w:lineRule="auto"/>
        <w:jc w:val="center"/>
        <w:outlineLvl w:val="0"/>
        <w:rPr>
          <w:rFonts w:ascii="黑体" w:hAnsi="黑体" w:eastAsia="黑体" w:cs="黑体"/>
          <w:b/>
          <w:bCs/>
          <w:kern w:val="44"/>
          <w:szCs w:val="21"/>
          <w:shd w:val="clear" w:color="auto" w:fill="FFFFFF"/>
        </w:rPr>
      </w:pPr>
      <w:r>
        <w:rPr>
          <w:rFonts w:ascii="黑体" w:hAnsi="黑体" w:eastAsia="黑体" w:cs="黑体"/>
          <w:b/>
          <w:bCs/>
          <w:kern w:val="44"/>
          <w:szCs w:val="21"/>
          <w:shd w:val="clear" w:color="auto" w:fill="FFFFFF"/>
        </w:rPr>
        <w:t>硝酸毛果芸香碱滴眼液说明书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硝酸毛果芸香碱滴眼液</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bookmarkStart w:id="7" w:name="OLE_LINK15"/>
      <w:r>
        <w:rPr>
          <w:rFonts w:hint="eastAsia" w:ascii="Times New Roman" w:hAnsi="Times New Roman" w:eastAsia="宋体" w:cs="Times New Roman"/>
          <w:bCs/>
          <w:kern w:val="0"/>
          <w:szCs w:val="21"/>
        </w:rPr>
        <w:t>Pilocarpine Nitrate</w:t>
      </w:r>
      <w:bookmarkEnd w:id="7"/>
      <w:r>
        <w:rPr>
          <w:rFonts w:hint="eastAsia" w:ascii="Times New Roman" w:hAnsi="Times New Roman" w:eastAsia="宋体" w:cs="Times New Roman"/>
          <w:bCs/>
          <w:kern w:val="0"/>
          <w:szCs w:val="21"/>
        </w:rPr>
        <w:t xml:space="preserve"> Eye Drops</w:t>
      </w:r>
    </w:p>
    <w:p>
      <w:pPr>
        <w:widowControl/>
        <w:adjustRightInd w:val="0"/>
        <w:snapToGrid w:val="0"/>
        <w:spacing w:line="276" w:lineRule="auto"/>
        <w:ind w:left="1260" w:leftChars="200" w:right="150" w:hanging="840" w:hangingChars="400"/>
        <w:rPr>
          <w:rFonts w:ascii="Times New Roman" w:hAnsi="Times New Roman" w:eastAsia="宋体" w:cs="Times New Roman"/>
          <w:bCs/>
          <w:kern w:val="0"/>
          <w:szCs w:val="21"/>
        </w:rPr>
      </w:pPr>
      <w:r>
        <w:rPr>
          <w:rFonts w:ascii="Times New Roman" w:hAnsi="Times New Roman" w:eastAsia="宋体" w:cs="Times New Roman"/>
          <w:bCs/>
          <w:szCs w:val="21"/>
        </w:rPr>
        <w:t>汉语拼音</w:t>
      </w:r>
      <w:r>
        <w:rPr>
          <w:rFonts w:ascii="Times New Roman" w:hAnsi="Times New Roman" w:eastAsia="宋体" w:cs="Times New Roman"/>
          <w:bCs/>
          <w:kern w:val="0"/>
          <w:sz w:val="24"/>
          <w:szCs w:val="21"/>
        </w:rPr>
        <w:t>：</w:t>
      </w:r>
      <w:r>
        <w:rPr>
          <w:rFonts w:hint="eastAsia" w:ascii="Times New Roman" w:hAnsi="Times New Roman" w:eastAsia="宋体" w:cs="Times New Roman"/>
          <w:bCs/>
          <w:kern w:val="0"/>
          <w:szCs w:val="21"/>
        </w:rPr>
        <w:t>Xiaosuan Maoguoyunxiangjian Diyanye</w:t>
      </w:r>
    </w:p>
    <w:p>
      <w:pPr>
        <w:adjustRightInd w:val="0"/>
        <w:snapToGrid w:val="0"/>
        <w:spacing w:line="276" w:lineRule="auto"/>
        <w:jc w:val="left"/>
        <w:rPr>
          <w:rFonts w:ascii="Times New Roman" w:hAnsi="Times New Roman" w:eastAsia="宋体" w:cs="Times New Roman"/>
          <w:bCs/>
          <w:kern w:val="0"/>
          <w:szCs w:val="21"/>
        </w:rPr>
      </w:pPr>
      <w:r>
        <w:rPr>
          <w:rFonts w:ascii="黑体" w:hAnsi="黑体" w:eastAsia="黑体" w:cs="Times New Roman"/>
          <w:b/>
          <w:bCs/>
          <w:kern w:val="0"/>
          <w:szCs w:val="21"/>
        </w:rPr>
        <w:t>【主要成分】</w:t>
      </w:r>
      <w:r>
        <w:rPr>
          <w:rFonts w:hint="eastAsia" w:ascii="Times New Roman" w:hAnsi="Times New Roman" w:eastAsia="宋体" w:cs="Times New Roman"/>
          <w:bCs/>
          <w:szCs w:val="21"/>
        </w:rPr>
        <w:t>硝酸毛果芸香碱</w:t>
      </w:r>
    </w:p>
    <w:p>
      <w:pPr>
        <w:widowControl/>
        <w:adjustRightInd w:val="0"/>
        <w:snapToGrid w:val="0"/>
        <w:spacing w:line="276" w:lineRule="auto"/>
        <w:ind w:right="150"/>
        <w:rPr>
          <w:rFonts w:ascii="宋体" w:hAnsi="宋体" w:eastAsia="宋体" w:cs="宋体"/>
          <w:kern w:val="0"/>
          <w:sz w:val="28"/>
          <w:szCs w:val="28"/>
        </w:rPr>
      </w:pPr>
      <w:r>
        <w:rPr>
          <w:rFonts w:ascii="黑体" w:hAnsi="黑体" w:eastAsia="黑体" w:cs="Times New Roman"/>
          <w:b/>
          <w:bCs/>
          <w:kern w:val="0"/>
          <w:szCs w:val="21"/>
        </w:rPr>
        <w:t>【性状】</w:t>
      </w:r>
      <w:r>
        <w:rPr>
          <w:rFonts w:hint="eastAsia" w:ascii="Times New Roman" w:hAnsi="Times New Roman" w:eastAsia="宋体" w:cs="Times New Roman"/>
          <w:bCs/>
          <w:szCs w:val="21"/>
        </w:rPr>
        <w:t>本品为无色澄明液体。</w:t>
      </w:r>
    </w:p>
    <w:p>
      <w:pPr>
        <w:widowControl/>
        <w:adjustRightInd w:val="0"/>
        <w:snapToGrid w:val="0"/>
        <w:spacing w:line="276" w:lineRule="auto"/>
        <w:ind w:right="150"/>
        <w:rPr>
          <w:rFonts w:ascii="黑体" w:hAnsi="黑体" w:eastAsia="黑体" w:cs="Times New Roman"/>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bCs/>
          <w:szCs w:val="21"/>
        </w:rPr>
        <w:t>毛果芸香碱是一种具有直接作用的拟胆碱药物，通过直接刺激位于瞳孔括约肌、睫状体及分泌腺上的毒蕈碱受体而起作用。毛果芸香碱通过收缩瞳孔括约肌，使周边虹膜离开房角前壁，开放房角，增加房水排出。同时本品还通过收缩</w:t>
      </w:r>
    </w:p>
    <w:p>
      <w:pPr>
        <w:widowControl/>
        <w:adjustRightInd w:val="0"/>
        <w:snapToGrid w:val="0"/>
        <w:spacing w:line="276" w:lineRule="auto"/>
        <w:ind w:right="150"/>
        <w:rPr>
          <w:rFonts w:ascii="Times New Roman" w:hAnsi="Times New Roman" w:eastAsia="宋体" w:cs="Times New Roman"/>
          <w:bCs/>
          <w:szCs w:val="21"/>
        </w:rPr>
      </w:pPr>
      <w:r>
        <w:rPr>
          <w:rFonts w:hint="eastAsia" w:ascii="黑体" w:hAnsi="黑体" w:eastAsia="黑体" w:cs="Times New Roman"/>
          <w:b/>
          <w:bCs/>
          <w:kern w:val="0"/>
          <w:szCs w:val="21"/>
        </w:rPr>
        <w:t>【药物相互作用】</w:t>
      </w:r>
      <w:r>
        <w:rPr>
          <w:rFonts w:hint="eastAsia" w:ascii="Times New Roman" w:hAnsi="Times New Roman" w:eastAsia="宋体" w:cs="Times New Roman"/>
          <w:bCs/>
          <w:szCs w:val="21"/>
        </w:rPr>
        <w:t>1.本品与β受体阻断剂、碳酸酐酶抑制剂、β肾上腺能受体激动剂或高渗脱水剂联合使用有协同作用。</w:t>
      </w:r>
    </w:p>
    <w:p>
      <w:pPr>
        <w:widowControl/>
        <w:adjustRightInd w:val="0"/>
        <w:snapToGrid w:val="0"/>
        <w:spacing w:line="276" w:lineRule="auto"/>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2.本品与拉坦前列素合用可降低葡萄膜巩膜途径房水流出的量，减低降眼压作用。 </w:t>
      </w:r>
    </w:p>
    <w:p>
      <w:pPr>
        <w:widowControl/>
        <w:adjustRightInd w:val="0"/>
        <w:snapToGrid w:val="0"/>
        <w:spacing w:line="276" w:lineRule="auto"/>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3.与局部抗胆碱药物合用将干扰本品的降眼压作用。与适量的全身抗胆碱药物合用，因全身用药到达眼部的浓度很低，通常不影响本品的降眼压作用。</w:t>
      </w:r>
    </w:p>
    <w:p>
      <w:pPr>
        <w:widowControl/>
        <w:adjustRightInd w:val="0"/>
        <w:snapToGrid w:val="0"/>
        <w:spacing w:line="276" w:lineRule="auto"/>
        <w:ind w:right="150"/>
        <w:rPr>
          <w:rFonts w:ascii="宋体" w:hAnsi="宋体" w:eastAsia="宋体" w:cs="宋体"/>
          <w:kern w:val="0"/>
          <w:sz w:val="28"/>
          <w:szCs w:val="28"/>
        </w:rPr>
      </w:pPr>
      <w:r>
        <w:rPr>
          <w:rFonts w:hint="eastAsia" w:ascii="黑体" w:hAnsi="黑体" w:eastAsia="黑体" w:cs="Times New Roman"/>
          <w:b/>
          <w:bCs/>
          <w:kern w:val="0"/>
          <w:szCs w:val="21"/>
        </w:rPr>
        <w:t>【适应证】</w:t>
      </w:r>
      <w:r>
        <w:rPr>
          <w:rFonts w:hint="eastAsia" w:ascii="Times New Roman" w:hAnsi="Times New Roman" w:eastAsia="宋体" w:cs="Times New Roman"/>
          <w:bCs/>
          <w:szCs w:val="21"/>
        </w:rPr>
        <w:t>用于急性闭角型青光眼，慢性闭角型青光眼，开角型青光眼，继发性青光眼等。本品可与其他缩瞳剂、β受体阻滞剂、碳酸酐酶抑制剂、拟交感神经药物或高渗脱水剂联合用于治疗青光眼。检眼镜检查后可用本品滴眼缩瞳以抵消睫状肌麻痹剂或扩瞳药的作用。用于治疗犬神经源性角膜结膜炎。</w:t>
      </w:r>
    </w:p>
    <w:p>
      <w:pPr>
        <w:widowControl/>
        <w:adjustRightInd w:val="0"/>
        <w:snapToGrid w:val="0"/>
        <w:spacing w:line="276" w:lineRule="auto"/>
        <w:ind w:right="150"/>
        <w:rPr>
          <w:rFonts w:ascii="Times New Roman" w:hAnsi="Times New Roman" w:eastAsia="宋体" w:cs="Times New Roman"/>
          <w:bCs/>
          <w:szCs w:val="21"/>
        </w:rPr>
      </w:pPr>
      <w:r>
        <w:rPr>
          <w:rFonts w:ascii="黑体" w:hAnsi="黑体" w:eastAsia="黑体" w:cs="Times New Roman"/>
          <w:b/>
          <w:bCs/>
          <w:kern w:val="0"/>
          <w:szCs w:val="21"/>
        </w:rPr>
        <w:t>【用法</w:t>
      </w:r>
      <w:r>
        <w:rPr>
          <w:rFonts w:hint="eastAsia" w:ascii="黑体" w:hAnsi="黑体" w:eastAsia="黑体" w:cs="Times New Roman"/>
          <w:b/>
          <w:bCs/>
          <w:kern w:val="0"/>
          <w:szCs w:val="21"/>
        </w:rPr>
        <w:t>与</w:t>
      </w:r>
      <w:r>
        <w:rPr>
          <w:rFonts w:ascii="黑体" w:hAnsi="黑体" w:eastAsia="黑体" w:cs="Times New Roman"/>
          <w:b/>
          <w:bCs/>
          <w:kern w:val="0"/>
          <w:szCs w:val="21"/>
        </w:rPr>
        <w:t>用量】</w:t>
      </w:r>
      <w:r>
        <w:rPr>
          <w:rFonts w:hint="eastAsia" w:ascii="Times New Roman" w:hAnsi="Times New Roman" w:eastAsia="宋体" w:cs="Times New Roman"/>
          <w:bCs/>
          <w:szCs w:val="21"/>
        </w:rPr>
        <w:t>犬：1.青光眼（急性）：患眼1滴，每10分钟一次，直至瞳孔缩小，然后根据需要每日2-3次维持，可能会产生耐药性。</w:t>
      </w:r>
    </w:p>
    <w:p>
      <w:pPr>
        <w:widowControl/>
        <w:adjustRightInd w:val="0"/>
        <w:snapToGrid w:val="0"/>
        <w:spacing w:line="276" w:lineRule="auto"/>
        <w:ind w:left="420" w:right="150"/>
        <w:rPr>
          <w:rFonts w:ascii="Times New Roman" w:hAnsi="Times New Roman" w:eastAsia="宋体" w:cs="Times New Roman"/>
          <w:bCs/>
          <w:szCs w:val="21"/>
        </w:rPr>
      </w:pPr>
      <w:r>
        <w:rPr>
          <w:rFonts w:hint="eastAsia" w:ascii="Times New Roman" w:hAnsi="Times New Roman" w:eastAsia="宋体" w:cs="Times New Roman"/>
          <w:bCs/>
          <w:szCs w:val="21"/>
        </w:rPr>
        <w:t>2.神经源性角膜结膜炎：1滴/10kg，每日2次，随饭内服。每3天增加1滴，直至出</w:t>
      </w:r>
    </w:p>
    <w:p>
      <w:pPr>
        <w:widowControl/>
        <w:adjustRightInd w:val="0"/>
        <w:snapToGrid w:val="0"/>
        <w:spacing w:line="276" w:lineRule="auto"/>
        <w:ind w:right="150"/>
        <w:rPr>
          <w:rFonts w:ascii="Times New Roman" w:hAnsi="Times New Roman" w:eastAsia="宋体" w:cs="Times New Roman"/>
          <w:bCs/>
          <w:szCs w:val="21"/>
        </w:rPr>
      </w:pPr>
      <w:r>
        <w:rPr>
          <w:rFonts w:hint="eastAsia" w:ascii="Times New Roman" w:hAnsi="Times New Roman" w:eastAsia="宋体" w:cs="Times New Roman"/>
          <w:bCs/>
          <w:szCs w:val="21"/>
        </w:rPr>
        <w:t>现中毒迹象（流涎、呕吐、腹泻），然后回到上一剂量维持。</w:t>
      </w:r>
    </w:p>
    <w:p>
      <w:pPr>
        <w:widowControl/>
        <w:adjustRightInd w:val="0"/>
        <w:snapToGrid w:val="0"/>
        <w:spacing w:line="276" w:lineRule="auto"/>
        <w:ind w:left="420" w:right="150"/>
        <w:rPr>
          <w:rFonts w:ascii="Times New Roman" w:hAnsi="Times New Roman" w:eastAsia="宋体" w:cs="Times New Roman"/>
          <w:bCs/>
          <w:szCs w:val="21"/>
        </w:rPr>
      </w:pPr>
      <w:r>
        <w:rPr>
          <w:rFonts w:hint="eastAsia" w:ascii="Times New Roman" w:hAnsi="Times New Roman" w:eastAsia="宋体" w:cs="Times New Roman"/>
          <w:bCs/>
          <w:szCs w:val="21"/>
        </w:rPr>
        <w:t>3.自主神经障碍的诊断：1滴，在60分钟内诱导患有自主神经障碍的犬瞳孔缩小和第</w:t>
      </w:r>
    </w:p>
    <w:p>
      <w:pPr>
        <w:widowControl/>
        <w:adjustRightInd w:val="0"/>
        <w:snapToGrid w:val="0"/>
        <w:spacing w:line="276" w:lineRule="auto"/>
        <w:ind w:right="150"/>
        <w:rPr>
          <w:rFonts w:ascii="Times New Roman" w:hAnsi="Times New Roman" w:eastAsia="宋体" w:cs="Times New Roman"/>
          <w:bCs/>
          <w:szCs w:val="21"/>
        </w:rPr>
      </w:pPr>
      <w:r>
        <w:rPr>
          <w:rFonts w:hint="eastAsia" w:ascii="Times New Roman" w:hAnsi="Times New Roman" w:eastAsia="宋体" w:cs="Times New Roman"/>
          <w:bCs/>
          <w:szCs w:val="21"/>
        </w:rPr>
        <w:t>三眼睑回缩，但对健康犬的瞳孔没有影响。</w:t>
      </w:r>
    </w:p>
    <w:p>
      <w:pPr>
        <w:widowControl/>
        <w:adjustRightInd w:val="0"/>
        <w:snapToGrid w:val="0"/>
        <w:spacing w:line="276" w:lineRule="auto"/>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猫：自主神经障碍的诊断：1滴，在45分钟内诱导患有自主神经障碍的猫瞳孔缩小，但对健康猫的瞳孔没有影响。</w:t>
      </w:r>
    </w:p>
    <w:p>
      <w:pPr>
        <w:widowControl/>
        <w:adjustRightInd w:val="0"/>
        <w:snapToGrid w:val="0"/>
        <w:spacing w:line="276" w:lineRule="auto"/>
        <w:ind w:right="150"/>
        <w:rPr>
          <w:rFonts w:ascii="Times New Roman" w:hAnsi="Times New Roman" w:eastAsia="宋体" w:cs="Times New Roman"/>
          <w:bCs/>
          <w:szCs w:val="21"/>
        </w:rPr>
      </w:pPr>
      <w:r>
        <w:rPr>
          <w:rFonts w:hint="eastAsia" w:ascii="黑体" w:hAnsi="黑体" w:eastAsia="黑体" w:cs="Times New Roman"/>
          <w:b/>
          <w:bCs/>
          <w:kern w:val="0"/>
          <w:szCs w:val="21"/>
        </w:rPr>
        <w:t>【不良反应】</w:t>
      </w:r>
      <w:r>
        <w:rPr>
          <w:rFonts w:hint="eastAsia" w:ascii="Times New Roman" w:hAnsi="Times New Roman" w:eastAsia="宋体" w:cs="Times New Roman"/>
          <w:bCs/>
          <w:szCs w:val="21"/>
        </w:rPr>
        <w:t>眼刺痛，烧灼感，结膜充血引起睫状体痉挛，浅表角膜炎，颞侧或眼周头痛，诱发近视。眼部反应通常发生在治疗初期，并在治疗过程中消失。有使用缩瞳剂后视网膜脱离的罕见报告。长期使用本品可出现晶状体混浊。局部用药后出现全身副性反应的情况罕见，但偶见特别敏感的患者，局部常规用药后出现流涎、出汗、胃肠道反应和支气管痉挛。</w:t>
      </w:r>
    </w:p>
    <w:p>
      <w:pPr>
        <w:widowControl/>
        <w:adjustRightInd w:val="0"/>
        <w:snapToGrid w:val="0"/>
        <w:spacing w:line="276" w:lineRule="auto"/>
        <w:ind w:right="150"/>
        <w:rPr>
          <w:rFonts w:ascii="Times New Roman" w:hAnsi="Times New Roman" w:eastAsia="宋体" w:cs="Times New Roman"/>
          <w:bCs/>
          <w:szCs w:val="21"/>
        </w:rPr>
      </w:pPr>
      <w:r>
        <w:rPr>
          <w:rFonts w:hint="eastAsia" w:ascii="黑体" w:hAnsi="黑体" w:eastAsia="黑体" w:cs="Times New Roman"/>
          <w:b/>
          <w:bCs/>
          <w:kern w:val="0"/>
          <w:szCs w:val="21"/>
        </w:rPr>
        <w:t>【禁忌】</w:t>
      </w:r>
      <w:r>
        <w:rPr>
          <w:rFonts w:hint="eastAsia" w:ascii="Times New Roman" w:hAnsi="Times New Roman" w:eastAsia="宋体" w:cs="Times New Roman"/>
          <w:bCs/>
          <w:szCs w:val="21"/>
        </w:rPr>
        <w:t>禁用于任何不应缩瞳的眼病患病动物，如虹膜睫状体炎，瞳孔阻滞性青光眼等；继发于晶状体脱位或前葡萄膜炎的青光眼患病动物禁用。禁用于对本品任何成分过敏者。哮喘，急性角膜炎慎用。</w:t>
      </w:r>
    </w:p>
    <w:p>
      <w:pPr>
        <w:widowControl/>
        <w:adjustRightInd w:val="0"/>
        <w:snapToGrid w:val="0"/>
        <w:spacing w:line="276" w:lineRule="auto"/>
        <w:ind w:right="150"/>
        <w:rPr>
          <w:rFonts w:ascii="Times New Roman" w:hAnsi="Times New Roman" w:eastAsia="宋体" w:cs="Times New Roman"/>
          <w:bCs/>
          <w:szCs w:val="21"/>
        </w:rPr>
      </w:pPr>
      <w:r>
        <w:rPr>
          <w:rFonts w:hint="eastAsia" w:ascii="黑体" w:hAnsi="黑体" w:eastAsia="黑体" w:cs="Times New Roman"/>
          <w:b/>
          <w:bCs/>
          <w:kern w:val="0"/>
          <w:szCs w:val="21"/>
        </w:rPr>
        <w:t>【注意事项】</w:t>
      </w:r>
      <w:r>
        <w:rPr>
          <w:rFonts w:hint="eastAsia" w:ascii="Times New Roman" w:hAnsi="Times New Roman" w:eastAsia="宋体" w:cs="Times New Roman"/>
          <w:bCs/>
          <w:szCs w:val="21"/>
        </w:rPr>
        <w:t>1.瞳孔缩小常引起暗适应困难。</w:t>
      </w:r>
    </w:p>
    <w:p>
      <w:pPr>
        <w:widowControl/>
        <w:adjustRightInd w:val="0"/>
        <w:snapToGrid w:val="0"/>
        <w:spacing w:line="276" w:lineRule="auto"/>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2.定期检查眼压。根据病情变化改变用药及治疗方案。 </w:t>
      </w:r>
    </w:p>
    <w:p>
      <w:pPr>
        <w:widowControl/>
        <w:adjustRightInd w:val="0"/>
        <w:snapToGrid w:val="0"/>
        <w:spacing w:line="276" w:lineRule="auto"/>
        <w:ind w:right="150" w:firstLine="420" w:firstLineChars="200"/>
        <w:rPr>
          <w:rFonts w:ascii="宋体" w:hAnsi="宋体" w:eastAsia="宋体" w:cs="宋体"/>
          <w:kern w:val="0"/>
          <w:sz w:val="28"/>
          <w:szCs w:val="28"/>
        </w:rPr>
      </w:pPr>
      <w:r>
        <w:rPr>
          <w:rFonts w:hint="eastAsia" w:ascii="Times New Roman" w:hAnsi="Times New Roman" w:eastAsia="宋体" w:cs="Times New Roman"/>
          <w:bCs/>
          <w:szCs w:val="21"/>
        </w:rPr>
        <w:t>3.如过多吸收出现全身中毒反应，应使用阿托品类抗胆碱药进行对抗治疗。</w:t>
      </w:r>
    </w:p>
    <w:p>
      <w:pPr>
        <w:widowControl/>
        <w:adjustRightInd w:val="0"/>
        <w:snapToGrid w:val="0"/>
        <w:spacing w:line="276" w:lineRule="auto"/>
        <w:ind w:right="150"/>
        <w:rPr>
          <w:rFonts w:ascii="Times New Roman" w:hAnsi="Times New Roman" w:eastAsia="宋体" w:cs="Times New Roman"/>
          <w:szCs w:val="21"/>
        </w:rPr>
      </w:pPr>
      <w:r>
        <w:rPr>
          <w:rFonts w:ascii="黑体" w:hAnsi="黑体" w:eastAsia="黑体" w:cs="Times New Roman"/>
          <w:b/>
          <w:bCs/>
          <w:kern w:val="0"/>
          <w:szCs w:val="21"/>
        </w:rPr>
        <w:t>【规格】</w:t>
      </w:r>
      <w:r>
        <w:rPr>
          <w:rFonts w:hint="eastAsia" w:ascii="Times New Roman" w:hAnsi="Times New Roman" w:eastAsia="宋体" w:cs="Times New Roman"/>
          <w:szCs w:val="21"/>
        </w:rPr>
        <w:t>（1）5ml</w:t>
      </w:r>
      <w:r>
        <w:rPr>
          <w:rFonts w:hint="eastAsia" w:ascii="宋体" w:hAnsi="宋体" w:eastAsia="宋体" w:cs="宋体"/>
          <w:szCs w:val="21"/>
        </w:rPr>
        <w:t>﹕</w:t>
      </w:r>
      <w:r>
        <w:rPr>
          <w:rFonts w:hint="eastAsia" w:ascii="Times New Roman" w:hAnsi="Times New Roman" w:eastAsia="宋体" w:cs="Times New Roman"/>
          <w:szCs w:val="21"/>
        </w:rPr>
        <w:t>25mg （2）5ml</w:t>
      </w:r>
      <w:r>
        <w:rPr>
          <w:rFonts w:hint="eastAsia" w:ascii="宋体" w:hAnsi="宋体" w:eastAsia="宋体" w:cs="宋体"/>
          <w:szCs w:val="21"/>
        </w:rPr>
        <w:t>﹕</w:t>
      </w:r>
      <w:r>
        <w:rPr>
          <w:rFonts w:hint="eastAsia" w:ascii="Times New Roman" w:hAnsi="Times New Roman" w:eastAsia="宋体" w:cs="Times New Roman"/>
          <w:szCs w:val="21"/>
        </w:rPr>
        <w:t>100mg （3）10ml</w:t>
      </w:r>
      <w:r>
        <w:rPr>
          <w:rFonts w:hint="eastAsia" w:ascii="宋体" w:hAnsi="宋体" w:eastAsia="宋体" w:cs="宋体"/>
          <w:szCs w:val="21"/>
        </w:rPr>
        <w:t>﹕</w:t>
      </w:r>
      <w:r>
        <w:rPr>
          <w:rFonts w:hint="eastAsia" w:ascii="Times New Roman" w:hAnsi="Times New Roman" w:eastAsia="宋体" w:cs="Times New Roman"/>
          <w:szCs w:val="21"/>
        </w:rPr>
        <w:t>50mg （4）10ml</w:t>
      </w:r>
      <w:r>
        <w:rPr>
          <w:rFonts w:hint="eastAsia" w:ascii="宋体" w:hAnsi="宋体" w:eastAsia="宋体" w:cs="宋体"/>
          <w:szCs w:val="21"/>
        </w:rPr>
        <w:t>﹕</w:t>
      </w:r>
      <w:r>
        <w:rPr>
          <w:rFonts w:hint="eastAsia" w:ascii="Times New Roman" w:hAnsi="Times New Roman" w:eastAsia="宋体" w:cs="Times New Roman"/>
          <w:szCs w:val="21"/>
        </w:rPr>
        <w:t>100mg</w:t>
      </w:r>
    </w:p>
    <w:p>
      <w:pPr>
        <w:widowControl/>
        <w:adjustRightInd w:val="0"/>
        <w:snapToGrid w:val="0"/>
        <w:spacing w:line="276" w:lineRule="auto"/>
        <w:ind w:right="150"/>
        <w:rPr>
          <w:rFonts w:ascii="Times New Roman" w:hAnsi="Times New Roman" w:eastAsia="宋体" w:cs="Times New Roman"/>
          <w:szCs w:val="21"/>
        </w:rPr>
      </w:pPr>
      <w:r>
        <w:rPr>
          <w:rFonts w:hint="eastAsia" w:ascii="Times New Roman" w:hAnsi="Times New Roman" w:eastAsia="宋体" w:cs="Times New Roman"/>
          <w:szCs w:val="21"/>
        </w:rPr>
        <w:t>（5）10ml</w:t>
      </w:r>
      <w:r>
        <w:rPr>
          <w:rFonts w:hint="eastAsia" w:ascii="宋体" w:hAnsi="宋体" w:eastAsia="宋体" w:cs="宋体"/>
          <w:szCs w:val="21"/>
        </w:rPr>
        <w:t>﹕</w:t>
      </w:r>
      <w:r>
        <w:rPr>
          <w:rFonts w:hint="eastAsia" w:ascii="Times New Roman" w:hAnsi="Times New Roman" w:eastAsia="宋体" w:cs="Times New Roman"/>
          <w:szCs w:val="21"/>
        </w:rPr>
        <w:t>200mg</w:t>
      </w:r>
    </w:p>
    <w:p>
      <w:pPr>
        <w:widowControl/>
        <w:adjustRightInd w:val="0"/>
        <w:snapToGrid w:val="0"/>
        <w:spacing w:line="276" w:lineRule="auto"/>
        <w:ind w:right="150"/>
        <w:rPr>
          <w:rFonts w:ascii="Times New Roman" w:hAnsi="Times New Roman" w:eastAsia="宋体" w:cs="Times New Roman"/>
          <w:szCs w:val="21"/>
        </w:rPr>
      </w:pPr>
      <w:r>
        <w:rPr>
          <w:rFonts w:ascii="黑体" w:hAnsi="黑体" w:eastAsia="黑体" w:cs="Times New Roman"/>
          <w:b/>
          <w:bCs/>
          <w:kern w:val="0"/>
          <w:szCs w:val="21"/>
        </w:rPr>
        <w:t>【包装】</w:t>
      </w:r>
    </w:p>
    <w:p>
      <w:pPr>
        <w:widowControl/>
        <w:adjustRightInd w:val="0"/>
        <w:snapToGrid w:val="0"/>
        <w:spacing w:line="276" w:lineRule="auto"/>
        <w:ind w:right="150"/>
        <w:rPr>
          <w:rFonts w:ascii="Times New Roman" w:hAnsi="Times New Roman" w:eastAsia="宋体" w:cs="Times New Roman"/>
          <w:kern w:val="0"/>
          <w:sz w:val="24"/>
          <w:szCs w:val="21"/>
        </w:rPr>
      </w:pPr>
      <w:r>
        <w:rPr>
          <w:rFonts w:ascii="黑体" w:hAnsi="黑体" w:eastAsia="黑体" w:cs="Times New Roman"/>
          <w:b/>
          <w:bCs/>
          <w:kern w:val="0"/>
          <w:szCs w:val="21"/>
        </w:rPr>
        <w:t>【贮藏】</w:t>
      </w:r>
      <w:r>
        <w:rPr>
          <w:rFonts w:hint="eastAsia" w:ascii="Times New Roman" w:hAnsi="Times New Roman" w:eastAsia="宋体" w:cs="Times New Roman"/>
          <w:szCs w:val="21"/>
        </w:rPr>
        <w:t>遮光，密封，在凉暗处保存。</w:t>
      </w:r>
    </w:p>
    <w:p>
      <w:pPr>
        <w:widowControl/>
        <w:adjustRightInd w:val="0"/>
        <w:snapToGrid w:val="0"/>
        <w:spacing w:line="276" w:lineRule="auto"/>
        <w:ind w:right="150"/>
        <w:rPr>
          <w:rFonts w:ascii="Times New Roman" w:hAnsi="Times New Roman" w:eastAsia="宋体" w:cs="Times New Roman"/>
          <w:kern w:val="0"/>
          <w:sz w:val="24"/>
          <w:szCs w:val="21"/>
        </w:rPr>
      </w:pPr>
      <w:r>
        <w:rPr>
          <w:rFonts w:ascii="黑体" w:hAnsi="黑体" w:eastAsia="黑体" w:cs="Times New Roman"/>
          <w:b/>
          <w:bCs/>
          <w:kern w:val="0"/>
          <w:szCs w:val="21"/>
        </w:rPr>
        <w:t>【有效期】</w:t>
      </w:r>
      <w:r>
        <w:rPr>
          <w:rFonts w:hint="eastAsia" w:ascii="Times New Roman" w:hAnsi="Times New Roman" w:eastAsia="宋体" w:cs="Times New Roman"/>
          <w:szCs w:val="21"/>
        </w:rPr>
        <w:t>18个月</w:t>
      </w:r>
    </w:p>
    <w:p>
      <w:pPr>
        <w:adjustRightInd w:val="0"/>
        <w:snapToGrid w:val="0"/>
        <w:spacing w:line="276" w:lineRule="auto"/>
        <w:ind w:right="-946"/>
        <w:rPr>
          <w:rFonts w:ascii="黑体" w:hAnsi="黑体" w:eastAsia="黑体" w:cs="Times New Roman"/>
          <w:kern w:val="0"/>
          <w:szCs w:val="21"/>
        </w:rPr>
      </w:pPr>
      <w:r>
        <w:rPr>
          <w:rFonts w:ascii="黑体" w:hAnsi="黑体" w:eastAsia="黑体" w:cs="Times New Roman"/>
          <w:b/>
          <w:bCs/>
          <w:kern w:val="0"/>
          <w:szCs w:val="21"/>
        </w:rPr>
        <w:t>【批准文号】</w:t>
      </w:r>
      <w:r>
        <w:rPr>
          <w:rFonts w:ascii="黑体" w:hAnsi="黑体" w:eastAsia="黑体" w:cs="Times New Roman"/>
          <w:kern w:val="0"/>
          <w:szCs w:val="21"/>
        </w:rPr>
        <w:t xml:space="preserve"> </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jc w:val="center"/>
      </w:pPr>
    </w:p>
    <w:p>
      <w:pPr>
        <w:adjustRightInd w:val="0"/>
        <w:snapToGrid w:val="0"/>
        <w:spacing w:line="276" w:lineRule="auto"/>
        <w:rPr>
          <w:rFonts w:hint="eastAsia"/>
        </w:rPr>
      </w:pPr>
    </w:p>
    <w:p>
      <w:pPr>
        <w:adjustRightInd w:val="0"/>
        <w:snapToGrid w:val="0"/>
        <w:spacing w:line="276" w:lineRule="auto"/>
      </w:pPr>
    </w:p>
    <w:p>
      <w:pPr>
        <w:adjustRightInd w:val="0"/>
        <w:snapToGrid w:val="0"/>
        <w:spacing w:line="276" w:lineRule="auto"/>
        <w:jc w:val="center"/>
        <w:rPr>
          <w:rFonts w:ascii="宋体" w:hAnsi="宋体" w:eastAsia="宋体" w:cs="Times New Roman"/>
          <w:b/>
          <w:bCs/>
          <w:color w:val="000000" w:themeColor="text1"/>
          <w:szCs w:val="22"/>
          <w14:textFill>
            <w14:solidFill>
              <w14:schemeClr w14:val="tx1"/>
            </w14:solidFill>
          </w14:textFill>
        </w:rPr>
      </w:pPr>
      <w:r>
        <w:fldChar w:fldCharType="begin"/>
      </w:r>
      <w:r>
        <w:instrText xml:space="preserve"> HYPERLINK "https://db.yaozh.com/instruct?name=%E7%A1%AB%E9%85%B8%E9%98%BF%E6%89%98%E5%93%81%E7%9C%BC%E8%86%8F" </w:instrText>
      </w:r>
      <w:r>
        <w:fldChar w:fldCharType="separate"/>
      </w:r>
      <w:r>
        <w:rPr>
          <w:rFonts w:hint="eastAsia" w:ascii="宋体" w:hAnsi="宋体" w:eastAsia="宋体" w:cs="Times New Roman"/>
          <w:b/>
          <w:bCs/>
          <w:color w:val="000000" w:themeColor="text1"/>
          <w:szCs w:val="22"/>
          <w14:textFill>
            <w14:solidFill>
              <w14:schemeClr w14:val="tx1"/>
            </w14:solidFill>
          </w14:textFill>
        </w:rPr>
        <w:t>硫酸阿托品眼膏</w:t>
      </w:r>
      <w:r>
        <w:rPr>
          <w:rFonts w:ascii="宋体" w:hAnsi="宋体" w:eastAsia="宋体" w:cs="Times New Roman"/>
          <w:b/>
          <w:bCs/>
          <w:color w:val="000000" w:themeColor="text1"/>
          <w:szCs w:val="22"/>
          <w14:textFill>
            <w14:solidFill>
              <w14:schemeClr w14:val="tx1"/>
            </w14:solidFill>
          </w14:textFill>
        </w:rPr>
        <w:fldChar w:fldCharType="end"/>
      </w:r>
      <w:r>
        <w:rPr>
          <w:rFonts w:hint="eastAsia" w:ascii="宋体" w:hAnsi="宋体" w:eastAsia="宋体" w:cs="Times New Roman"/>
          <w:b/>
          <w:bCs/>
          <w:color w:val="000000" w:themeColor="text1"/>
          <w:szCs w:val="22"/>
          <w14:textFill>
            <w14:solidFill>
              <w14:schemeClr w14:val="tx1"/>
            </w14:solidFill>
          </w14:textFill>
        </w:rPr>
        <w:t>说明书</w:t>
      </w:r>
    </w:p>
    <w:p>
      <w:pPr>
        <w:pStyle w:val="7"/>
        <w:widowControl/>
        <w:wordWrap w:val="0"/>
        <w:adjustRightInd w:val="0"/>
        <w:snapToGrid w:val="0"/>
        <w:spacing w:line="276" w:lineRule="auto"/>
        <w:ind w:left="1260" w:right="150" w:hanging="1260" w:hangingChars="600"/>
        <w:jc w:val="right"/>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bdr w:val="single" w:color="auto" w:sz="4" w:space="0"/>
          <w14:textFill>
            <w14:solidFill>
              <w14:schemeClr w14:val="tx1"/>
            </w14:solidFill>
          </w14:textFill>
        </w:rPr>
        <w:t>宠物用外用</w:t>
      </w:r>
    </w:p>
    <w:p>
      <w:pPr>
        <w:tabs>
          <w:tab w:val="left" w:pos="540"/>
        </w:tabs>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【兽药名称】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通用名称：</w:t>
      </w:r>
      <w:r>
        <w:fldChar w:fldCharType="begin"/>
      </w:r>
      <w:r>
        <w:instrText xml:space="preserve"> HYPERLINK "https://db.yaozh.com/instruct?name=%E7%A1%AB%E9%85%B8%E9%98%BF%E6%89%98%E5%93%81%E7%9C%BC%E8%86%8F" </w:instrText>
      </w:r>
      <w:r>
        <w:fldChar w:fldCharType="separate"/>
      </w:r>
      <w:r>
        <w:rPr>
          <w:rFonts w:hint="eastAsia" w:ascii="宋体" w:hAnsi="宋体" w:eastAsia="宋体" w:cs="Times New Roman"/>
          <w:color w:val="000000" w:themeColor="text1"/>
          <w:szCs w:val="22"/>
          <w14:textFill>
            <w14:solidFill>
              <w14:schemeClr w14:val="tx1"/>
            </w14:solidFill>
          </w14:textFill>
        </w:rPr>
        <w:t>硫酸阿托品眼膏</w:t>
      </w:r>
      <w:r>
        <w:rPr>
          <w:rFonts w:hint="eastAsia" w:ascii="宋体" w:hAnsi="宋体" w:eastAsia="宋体" w:cs="Times New Roman"/>
          <w:color w:val="000000" w:themeColor="text1"/>
          <w:szCs w:val="22"/>
          <w14:textFill>
            <w14:solidFill>
              <w14:schemeClr w14:val="tx1"/>
            </w14:solidFill>
          </w14:textFill>
        </w:rPr>
        <w:fldChar w:fldCharType="end"/>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商品名称：</w:t>
      </w:r>
    </w:p>
    <w:p>
      <w:pPr>
        <w:adjustRightInd w:val="0"/>
        <w:snapToGrid w:val="0"/>
        <w:spacing w:line="276" w:lineRule="auto"/>
        <w:ind w:firstLine="420" w:firstLineChars="200"/>
        <w:rPr>
          <w:rFonts w:ascii="宋体" w:hAnsi="宋体"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英文名称</w:t>
      </w:r>
      <w:bookmarkStart w:id="8" w:name="OLE_LINK12"/>
      <w:r>
        <w:rPr>
          <w:rFonts w:hint="eastAsia" w:ascii="宋体" w:hAnsi="宋体" w:eastAsia="宋体" w:cs="Times New Roman"/>
          <w:color w:val="000000" w:themeColor="text1"/>
          <w:szCs w:val="22"/>
          <w14:textFill>
            <w14:solidFill>
              <w14:schemeClr w14:val="tx1"/>
            </w14:solidFill>
          </w14:textFill>
        </w:rPr>
        <w:t>：</w:t>
      </w:r>
      <w:r>
        <w:rPr>
          <w:rFonts w:ascii="Times New Roman" w:hAnsi="Times New Roman" w:eastAsia="宋体" w:cs="Times New Roman"/>
          <w:color w:val="000000" w:themeColor="text1"/>
          <w:szCs w:val="22"/>
          <w14:textFill>
            <w14:solidFill>
              <w14:schemeClr w14:val="tx1"/>
            </w14:solidFill>
          </w14:textFill>
        </w:rPr>
        <w:t>Atropine Sulfate</w:t>
      </w:r>
      <w:bookmarkEnd w:id="8"/>
      <w:r>
        <w:rPr>
          <w:rFonts w:ascii="Times New Roman" w:hAnsi="Times New Roman" w:eastAsia="宋体" w:cs="Times New Roman"/>
          <w:color w:val="000000" w:themeColor="text1"/>
          <w:szCs w:val="22"/>
          <w14:textFill>
            <w14:solidFill>
              <w14:schemeClr w14:val="tx1"/>
            </w14:solidFill>
          </w14:textFill>
        </w:rPr>
        <w:t xml:space="preserve"> Eye Ointment</w:t>
      </w:r>
    </w:p>
    <w:p>
      <w:pPr>
        <w:adjustRightInd w:val="0"/>
        <w:snapToGrid w:val="0"/>
        <w:spacing w:line="276" w:lineRule="auto"/>
        <w:ind w:firstLine="420" w:firstLineChars="200"/>
        <w:rPr>
          <w:rFonts w:ascii="Times New Roman" w:hAnsi="Times New Roman" w:eastAsia="宋体" w:cs="Times New Roman"/>
          <w:color w:val="000000" w:themeColor="text1"/>
          <w:szCs w:val="22"/>
          <w14:textFill>
            <w14:solidFill>
              <w14:schemeClr w14:val="tx1"/>
            </w14:solidFill>
          </w14:textFill>
        </w:rPr>
      </w:pPr>
      <w:r>
        <w:rPr>
          <w:rFonts w:hint="eastAsia" w:ascii="宋体" w:hAnsi="宋体" w:eastAsia="宋体" w:cs="Times New Roman"/>
          <w:color w:val="000000" w:themeColor="text1"/>
          <w:szCs w:val="22"/>
          <w14:textFill>
            <w14:solidFill>
              <w14:schemeClr w14:val="tx1"/>
            </w14:solidFill>
          </w14:textFill>
        </w:rPr>
        <w:t>汉语拼音：</w:t>
      </w:r>
      <w:r>
        <w:rPr>
          <w:rFonts w:ascii="Times New Roman" w:hAnsi="Times New Roman" w:eastAsia="宋体" w:cs="Times New Roman"/>
          <w:color w:val="000000" w:themeColor="text1"/>
          <w:szCs w:val="22"/>
          <w14:textFill>
            <w14:solidFill>
              <w14:schemeClr w14:val="tx1"/>
            </w14:solidFill>
          </w14:textFill>
        </w:rPr>
        <w:t>Liusuan Atuopin Yangao</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【主要成分】</w:t>
      </w:r>
      <w:r>
        <w:rPr>
          <w:rFonts w:hint="eastAsia" w:ascii="黑体" w:hAnsi="黑体" w:eastAsia="黑体" w:cs="Times New Roman"/>
          <w:szCs w:val="22"/>
        </w:rPr>
        <w:t xml:space="preserve"> </w:t>
      </w:r>
      <w:r>
        <w:rPr>
          <w:rFonts w:hint="eastAsia" w:ascii="宋体" w:hAnsi="宋体" w:eastAsia="宋体" w:cs="Times New Roman"/>
          <w:szCs w:val="22"/>
        </w:rPr>
        <w:t>硫酸阿托品</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【性状】</w:t>
      </w:r>
      <w:r>
        <w:rPr>
          <w:rFonts w:ascii="宋体" w:hAnsi="宋体" w:eastAsia="宋体" w:cs="Times New Roman"/>
          <w:szCs w:val="22"/>
        </w:rPr>
        <w:t xml:space="preserve"> </w:t>
      </w:r>
      <w:r>
        <w:rPr>
          <w:rFonts w:hint="eastAsia" w:ascii="宋体" w:hAnsi="宋体" w:eastAsia="宋体" w:cs="Times New Roman"/>
          <w:szCs w:val="22"/>
        </w:rPr>
        <w:t>本品为淡黄色软膏。</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【药理作用】</w:t>
      </w:r>
      <w:r>
        <w:rPr>
          <w:rFonts w:hint="eastAsia" w:ascii="宋体" w:hAnsi="宋体" w:eastAsia="宋体" w:cs="Times New Roman"/>
          <w:szCs w:val="22"/>
        </w:rPr>
        <w:t xml:space="preserve"> </w:t>
      </w:r>
      <w:r>
        <w:rPr>
          <w:rFonts w:ascii="Times New Roman" w:hAnsi="Times New Roman" w:eastAsia="宋体" w:cs="Times New Roman"/>
          <w:szCs w:val="22"/>
        </w:rPr>
        <w:t>阿托品阻断M胆碱受体，使瞳孔括约肌和睫状肌松弛，导致去甲肾上腺素能神经支配的瞳孔扩大肌的功能占优势，从而使瞳孔散大。瞳孔散大把虹膜推向虹膜角膜角，妨碍房水通过小梁网排入巩膜静脉窦，引起眼压升高。阿托品使睫状肌松弛，拉紧悬韧带使晶状体变扁平，减低其屈光度，引起调节麻痹。</w:t>
      </w:r>
    </w:p>
    <w:p>
      <w:pPr>
        <w:adjustRightInd w:val="0"/>
        <w:snapToGrid w:val="0"/>
        <w:spacing w:line="276" w:lineRule="auto"/>
        <w:rPr>
          <w:rFonts w:ascii="宋体" w:hAnsi="宋体" w:eastAsia="宋体" w:cs="Times New Roman"/>
          <w:szCs w:val="22"/>
        </w:rPr>
      </w:pPr>
      <w:r>
        <w:rPr>
          <w:rFonts w:hint="eastAsia" w:ascii="黑体" w:hAnsi="黑体" w:eastAsia="黑体" w:cs="Times New Roman"/>
          <w:b/>
          <w:bCs/>
          <w:kern w:val="0"/>
          <w:szCs w:val="21"/>
        </w:rPr>
        <w:t>【药物相互作用】</w:t>
      </w:r>
      <w:r>
        <w:rPr>
          <w:rFonts w:hint="eastAsia" w:ascii="黑体" w:hAnsi="黑体" w:eastAsia="黑体" w:cs="Times New Roman"/>
          <w:szCs w:val="22"/>
        </w:rPr>
        <w:t xml:space="preserve"> </w:t>
      </w:r>
      <w:r>
        <w:rPr>
          <w:rFonts w:hint="eastAsia" w:ascii="宋体" w:hAnsi="宋体" w:eastAsia="宋体" w:cs="Times New Roman"/>
          <w:szCs w:val="22"/>
        </w:rPr>
        <w:t>三环类抗抑郁药、H1-受体阻断药、抗胆碱类的抗帕金森病药、吩噻嗪类抗精神病药等均有抗胆碱作用，合用后可加重尿潴留、便秘、口干等阿托品样不良反应。</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【作用与用途】</w:t>
      </w:r>
      <w:r>
        <w:rPr>
          <w:rFonts w:hint="eastAsia" w:ascii="黑体" w:hAnsi="黑体" w:eastAsia="黑体" w:cs="Times New Roman"/>
          <w:szCs w:val="22"/>
        </w:rPr>
        <w:t xml:space="preserve"> </w:t>
      </w:r>
      <w:r>
        <w:rPr>
          <w:rFonts w:hint="eastAsia" w:ascii="宋体" w:hAnsi="宋体" w:eastAsia="宋体" w:cs="Times New Roman"/>
          <w:szCs w:val="22"/>
        </w:rPr>
        <w:t>抗胆碱药。用于散瞳，也可用于虹睫状体炎。</w:t>
      </w:r>
    </w:p>
    <w:p>
      <w:pPr>
        <w:adjustRightInd w:val="0"/>
        <w:snapToGrid w:val="0"/>
        <w:spacing w:line="276" w:lineRule="auto"/>
        <w:rPr>
          <w:rFonts w:ascii="黑体" w:hAnsi="黑体" w:eastAsia="黑体" w:cs="Times New Roman"/>
          <w:szCs w:val="22"/>
        </w:rPr>
      </w:pPr>
      <w:r>
        <w:rPr>
          <w:rFonts w:hint="eastAsia" w:ascii="黑体" w:hAnsi="黑体" w:eastAsia="黑体" w:cs="Times New Roman"/>
          <w:b/>
          <w:bCs/>
          <w:kern w:val="0"/>
          <w:szCs w:val="21"/>
        </w:rPr>
        <w:t>【用法与用量】</w:t>
      </w:r>
      <w:r>
        <w:rPr>
          <w:rFonts w:ascii="宋体" w:hAnsi="宋体" w:eastAsia="宋体" w:cs="Times New Roman"/>
          <w:szCs w:val="22"/>
        </w:rPr>
        <w:t xml:space="preserve"> </w:t>
      </w:r>
      <w:r>
        <w:rPr>
          <w:rFonts w:hint="eastAsia" w:ascii="宋体" w:hAnsi="宋体" w:eastAsia="宋体" w:cs="Times New Roman"/>
          <w:szCs w:val="22"/>
        </w:rPr>
        <w:t>眼部外用。</w:t>
      </w:r>
      <w:r>
        <w:rPr>
          <w:rFonts w:ascii="Times New Roman" w:hAnsi="Times New Roman" w:eastAsia="宋体" w:cs="Times New Roman"/>
          <w:szCs w:val="22"/>
        </w:rPr>
        <w:t>每日1</w:t>
      </w:r>
      <w:r>
        <w:rPr>
          <w:rFonts w:hint="eastAsia" w:ascii="宋体" w:hAnsi="宋体" w:eastAsia="宋体" w:cs="Times New Roman"/>
          <w:szCs w:val="22"/>
        </w:rPr>
        <w:t>～</w:t>
      </w:r>
      <w:r>
        <w:rPr>
          <w:rFonts w:ascii="Times New Roman" w:hAnsi="Times New Roman" w:eastAsia="宋体" w:cs="Times New Roman"/>
          <w:szCs w:val="22"/>
        </w:rPr>
        <w:t>4次，</w:t>
      </w:r>
      <w:r>
        <w:rPr>
          <w:rFonts w:hint="eastAsia" w:ascii="Times New Roman" w:hAnsi="Times New Roman" w:eastAsia="宋体" w:cs="Times New Roman"/>
          <w:szCs w:val="22"/>
        </w:rPr>
        <w:t>每</w:t>
      </w:r>
      <w:r>
        <w:rPr>
          <w:rFonts w:ascii="Times New Roman" w:hAnsi="Times New Roman" w:eastAsia="宋体" w:cs="Times New Roman"/>
          <w:szCs w:val="22"/>
        </w:rPr>
        <w:t>次1滴，根据需要维持散瞳状态。</w:t>
      </w:r>
    </w:p>
    <w:p>
      <w:pPr>
        <w:adjustRightInd w:val="0"/>
        <w:snapToGrid w:val="0"/>
        <w:spacing w:line="276" w:lineRule="auto"/>
        <w:rPr>
          <w:rFonts w:ascii="Times New Roman" w:hAnsi="Times New Roman" w:eastAsia="宋体" w:cs="Times New Roman"/>
          <w:szCs w:val="22"/>
        </w:rPr>
      </w:pPr>
      <w:r>
        <w:rPr>
          <w:rFonts w:hint="eastAsia" w:ascii="黑体" w:hAnsi="黑体" w:eastAsia="黑体" w:cs="Times New Roman"/>
          <w:b/>
          <w:bCs/>
          <w:kern w:val="0"/>
          <w:szCs w:val="21"/>
        </w:rPr>
        <w:t>【不良反应】</w:t>
      </w:r>
      <w:r>
        <w:rPr>
          <w:rFonts w:ascii="Times New Roman" w:hAnsi="Times New Roman" w:eastAsia="黑体" w:cs="Times New Roman"/>
          <w:szCs w:val="22"/>
        </w:rPr>
        <w:t xml:space="preserve"> </w:t>
      </w:r>
      <w:r>
        <w:rPr>
          <w:rFonts w:ascii="Times New Roman" w:hAnsi="Times New Roman" w:eastAsia="宋体" w:cs="Times New Roman"/>
          <w:szCs w:val="22"/>
        </w:rPr>
        <w:t>1.眼部用药后可能产生短暂的眼部烧灼感和刺痛、畏光，并可因全身吸收出现口干，皮肤、黏膜干燥，发热，面部潮红，心动过速等现象。</w:t>
      </w:r>
      <w:r>
        <w:rPr>
          <w:rFonts w:ascii="Times New Roman" w:hAnsi="Times New Roman" w:eastAsia="宋体" w:cs="Times New Roman"/>
          <w:szCs w:val="22"/>
        </w:rPr>
        <w:br w:type="textWrapping"/>
      </w:r>
      <w:r>
        <w:rPr>
          <w:rFonts w:ascii="Times New Roman" w:hAnsi="Times New Roman" w:eastAsia="宋体" w:cs="Times New Roman"/>
          <w:szCs w:val="22"/>
        </w:rPr>
        <w:t xml:space="preserve">    2.少数</w:t>
      </w:r>
      <w:r>
        <w:rPr>
          <w:rFonts w:hint="eastAsia" w:ascii="Times New Roman" w:hAnsi="Times New Roman" w:eastAsia="宋体" w:cs="Times New Roman"/>
          <w:szCs w:val="22"/>
        </w:rPr>
        <w:t>患病动物</w:t>
      </w:r>
      <w:r>
        <w:rPr>
          <w:rFonts w:ascii="Times New Roman" w:hAnsi="Times New Roman" w:eastAsia="宋体" w:cs="Times New Roman"/>
          <w:szCs w:val="22"/>
        </w:rPr>
        <w:t>眼睑出现发痒、红肿、结膜充血等过敏现象，应立即停药。</w:t>
      </w:r>
    </w:p>
    <w:p>
      <w:pPr>
        <w:adjustRightInd w:val="0"/>
        <w:snapToGrid w:val="0"/>
        <w:spacing w:line="276" w:lineRule="auto"/>
        <w:rPr>
          <w:rFonts w:ascii="Times New Roman" w:hAnsi="Times New Roman" w:eastAsia="宋体" w:cs="Times New Roman"/>
          <w:color w:val="000000" w:themeColor="text1"/>
          <w:szCs w:val="22"/>
          <w14:textFill>
            <w14:solidFill>
              <w14:schemeClr w14:val="tx1"/>
            </w14:solidFill>
          </w14:textFill>
        </w:rPr>
      </w:pP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3.</w:t>
      </w:r>
      <w:r>
        <w:rPr>
          <w:rFonts w:ascii="Times New Roman" w:hAnsi="Times New Roman" w:eastAsia="宋体" w:cs="Times New Roman"/>
          <w:color w:val="000000" w:themeColor="text1"/>
          <w:szCs w:val="22"/>
          <w:shd w:val="clear" w:color="auto" w:fill="FFFFFF"/>
          <w14:textFill>
            <w14:solidFill>
              <w14:schemeClr w14:val="tx1"/>
            </w14:solidFill>
          </w14:textFill>
        </w:rPr>
        <w:t>过量的剂量会导致中枢神经系统兴奋和过度的运动，然后是抑郁和昏迷</w:t>
      </w:r>
      <w:r>
        <w:rPr>
          <w:rFonts w:ascii="Times New Roman" w:hAnsi="Times New Roman" w:eastAsia="宋体" w:cs="Times New Roman"/>
          <w:color w:val="000000" w:themeColor="text1"/>
          <w:szCs w:val="22"/>
          <w14:textFill>
            <w14:solidFill>
              <w14:schemeClr w14:val="tx1"/>
            </w14:solidFill>
          </w14:textFill>
        </w:rPr>
        <w:t>。</w:t>
      </w:r>
      <w:r>
        <w:rPr>
          <w:rFonts w:ascii="Times New Roman" w:hAnsi="Times New Roman" w:eastAsia="宋体" w:cs="Times New Roman"/>
          <w:color w:val="000000" w:themeColor="text1"/>
          <w:szCs w:val="22"/>
          <w:shd w:val="clear" w:color="auto" w:fill="FFFFFF"/>
          <w14:textFill>
            <w14:solidFill>
              <w14:schemeClr w14:val="tx1"/>
            </w14:solidFill>
          </w14:textFill>
        </w:rPr>
        <w:t>过量的症状可能包括口干、口渴、吞咽困难、便秘、瞳孔散大、心动过速、体温过高、呼吸急促、躁动、谵妄、颤抖、抽搐、呼吸抑制/衰竭和死亡。</w:t>
      </w:r>
    </w:p>
    <w:p>
      <w:pPr>
        <w:adjustRightInd w:val="0"/>
        <w:snapToGrid w:val="0"/>
        <w:spacing w:line="276" w:lineRule="auto"/>
        <w:rPr>
          <w:rFonts w:ascii="Times New Roman" w:hAnsi="Times New Roman" w:eastAsia="黑体" w:cs="Times New Roman"/>
          <w:szCs w:val="22"/>
        </w:rPr>
      </w:pPr>
      <w:r>
        <w:rPr>
          <w:rFonts w:ascii="黑体" w:hAnsi="黑体" w:eastAsia="黑体" w:cs="Times New Roman"/>
          <w:b/>
          <w:bCs/>
          <w:kern w:val="0"/>
          <w:szCs w:val="21"/>
        </w:rPr>
        <w:t>【注意事项】</w:t>
      </w:r>
      <w:r>
        <w:rPr>
          <w:rFonts w:hint="eastAsia" w:ascii="黑体" w:hAnsi="黑体" w:eastAsia="黑体" w:cs="Times New Roman"/>
          <w:b/>
          <w:bCs/>
          <w:kern w:val="0"/>
          <w:szCs w:val="21"/>
        </w:rPr>
        <w:t xml:space="preserve"> </w:t>
      </w:r>
      <w:r>
        <w:rPr>
          <w:rFonts w:hint="eastAsia" w:ascii="Times New Roman" w:hAnsi="Times New Roman" w:eastAsia="宋体" w:cs="Times New Roman"/>
          <w:szCs w:val="22"/>
        </w:rPr>
        <w:t>1</w:t>
      </w:r>
      <w:r>
        <w:rPr>
          <w:rFonts w:ascii="Times New Roman" w:hAnsi="Times New Roman" w:eastAsia="宋体" w:cs="Times New Roman"/>
          <w:szCs w:val="22"/>
        </w:rPr>
        <w:t>.</w:t>
      </w:r>
      <w:r>
        <w:rPr>
          <w:rFonts w:hint="eastAsia" w:ascii="Times New Roman" w:hAnsi="Times New Roman" w:eastAsia="宋体" w:cs="Times New Roman"/>
          <w:szCs w:val="22"/>
        </w:rPr>
        <w:t>患有青光眼的动物不得使用。</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2</w:t>
      </w:r>
      <w:r>
        <w:rPr>
          <w:rFonts w:ascii="Times New Roman" w:hAnsi="Times New Roman" w:eastAsia="宋体" w:cs="Times New Roman"/>
          <w:szCs w:val="22"/>
        </w:rPr>
        <w:t>.</w:t>
      </w:r>
      <w:r>
        <w:rPr>
          <w:rFonts w:hint="eastAsia" w:ascii="Times New Roman" w:hAnsi="Times New Roman" w:eastAsia="宋体" w:cs="Times New Roman"/>
          <w:szCs w:val="22"/>
        </w:rPr>
        <w:t>对本品过敏的动物不得使用。</w:t>
      </w:r>
    </w:p>
    <w:p>
      <w:pPr>
        <w:adjustRightInd w:val="0"/>
        <w:snapToGrid w:val="0"/>
        <w:spacing w:line="276" w:lineRule="auto"/>
        <w:ind w:firstLine="420" w:firstLineChars="200"/>
        <w:rPr>
          <w:rFonts w:ascii="Times New Roman" w:hAnsi="Times New Roman" w:eastAsia="宋体" w:cs="Times New Roman"/>
          <w:szCs w:val="22"/>
        </w:rPr>
      </w:pPr>
      <w:r>
        <w:rPr>
          <w:rFonts w:hint="eastAsia" w:ascii="Times New Roman" w:hAnsi="Times New Roman" w:eastAsia="宋体" w:cs="Times New Roman"/>
          <w:szCs w:val="22"/>
        </w:rPr>
        <w:t>3</w:t>
      </w:r>
      <w:r>
        <w:rPr>
          <w:rFonts w:ascii="Times New Roman" w:hAnsi="Times New Roman" w:eastAsia="宋体" w:cs="Times New Roman"/>
          <w:szCs w:val="22"/>
        </w:rPr>
        <w:t>.角膜穿孔或者即将穿孔的角膜溃疡患病动物慎用。</w:t>
      </w:r>
    </w:p>
    <w:p>
      <w:pPr>
        <w:adjustRightInd w:val="0"/>
        <w:snapToGrid w:val="0"/>
        <w:spacing w:line="276" w:lineRule="auto"/>
        <w:rPr>
          <w:rFonts w:ascii="Times New Roman" w:hAnsi="Times New Roman" w:eastAsia="宋体" w:cs="Times New Roman"/>
          <w:szCs w:val="22"/>
        </w:rPr>
      </w:pPr>
      <w:r>
        <w:rPr>
          <w:rFonts w:hint="eastAsia" w:ascii="Times New Roman" w:hAnsi="Times New Roman" w:eastAsia="宋体" w:cs="Times New Roman"/>
          <w:szCs w:val="22"/>
        </w:rPr>
        <w:t xml:space="preserve"> </w:t>
      </w:r>
      <w:r>
        <w:rPr>
          <w:rFonts w:ascii="Times New Roman" w:hAnsi="Times New Roman" w:eastAsia="宋体" w:cs="Times New Roman"/>
          <w:szCs w:val="22"/>
        </w:rPr>
        <w:t xml:space="preserve">   4.出现眼睑过敏反应或接触性皮炎应该立即停药。</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5.阿托品类扩瞳药对正常眼压无明显影响，但对眼压异常或窄角、浅前房眼患者，应用后可使眼压明显升高而有激发青光眼急性发作的危险。故对这类病例和</w:t>
      </w:r>
      <w:r>
        <w:rPr>
          <w:rFonts w:hint="eastAsia" w:ascii="Times New Roman" w:hAnsi="Times New Roman" w:eastAsia="宋体" w:cs="Times New Roman"/>
          <w:color w:val="000000" w:themeColor="text1"/>
          <w:szCs w:val="22"/>
          <w14:textFill>
            <w14:solidFill>
              <w14:schemeClr w14:val="tx1"/>
            </w14:solidFill>
          </w14:textFill>
        </w:rPr>
        <w:t>老年病例</w:t>
      </w:r>
      <w:r>
        <w:rPr>
          <w:rFonts w:ascii="Times New Roman" w:hAnsi="Times New Roman" w:eastAsia="宋体" w:cs="Times New Roman"/>
          <w:szCs w:val="22"/>
        </w:rPr>
        <w:t>不应用阿托品</w:t>
      </w:r>
      <w:r>
        <w:rPr>
          <w:rFonts w:hint="eastAsia" w:ascii="Times New Roman" w:hAnsi="Times New Roman" w:eastAsia="宋体" w:cs="Times New Roman"/>
          <w:color w:val="000000" w:themeColor="text1"/>
          <w:szCs w:val="22"/>
          <w14:textFill>
            <w14:solidFill>
              <w14:schemeClr w14:val="tx1"/>
            </w14:solidFill>
          </w14:textFill>
        </w:rPr>
        <w:t>滴眼</w:t>
      </w:r>
      <w:r>
        <w:rPr>
          <w:rFonts w:ascii="Times New Roman" w:hAnsi="Times New Roman" w:eastAsia="宋体" w:cs="Times New Roman"/>
          <w:szCs w:val="22"/>
        </w:rPr>
        <w:t>。</w:t>
      </w:r>
    </w:p>
    <w:p>
      <w:pPr>
        <w:adjustRightInd w:val="0"/>
        <w:snapToGrid w:val="0"/>
        <w:spacing w:line="276" w:lineRule="auto"/>
        <w:ind w:firstLine="420" w:firstLineChars="200"/>
        <w:rPr>
          <w:rFonts w:ascii="Times New Roman" w:hAnsi="Times New Roman" w:eastAsia="宋体" w:cs="Times New Roman"/>
          <w:szCs w:val="22"/>
        </w:rPr>
      </w:pPr>
      <w:r>
        <w:rPr>
          <w:rFonts w:ascii="Times New Roman" w:hAnsi="Times New Roman" w:eastAsia="宋体" w:cs="Times New Roman"/>
          <w:szCs w:val="22"/>
        </w:rPr>
        <w:t>6.用药后瞳孔散大畏光。</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【规格】</w:t>
      </w:r>
      <w:r>
        <w:rPr>
          <w:rFonts w:hint="eastAsia" w:ascii="Times New Roman" w:hAnsi="Times New Roman" w:eastAsia="宋体" w:cs="Times New Roman"/>
          <w:szCs w:val="22"/>
        </w:rPr>
        <w:t>2</w:t>
      </w:r>
      <w:r>
        <w:rPr>
          <w:rFonts w:ascii="Times New Roman" w:hAnsi="Times New Roman" w:eastAsia="宋体" w:cs="Times New Roman"/>
          <w:szCs w:val="22"/>
        </w:rPr>
        <w:t>g</w:t>
      </w:r>
      <w:r>
        <w:rPr>
          <w:rFonts w:hint="eastAsia" w:ascii="宋体" w:hAnsi="宋体" w:eastAsia="宋体" w:cs="Times New Roman"/>
          <w:szCs w:val="22"/>
        </w:rPr>
        <w:t>︰</w:t>
      </w:r>
      <w:r>
        <w:rPr>
          <w:rFonts w:ascii="Times New Roman" w:hAnsi="Times New Roman" w:eastAsia="宋体" w:cs="Times New Roman"/>
          <w:szCs w:val="22"/>
        </w:rPr>
        <w:t xml:space="preserve">20mg </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【包装】</w:t>
      </w:r>
      <w:r>
        <w:rPr>
          <w:rFonts w:ascii="Times New Roman" w:hAnsi="Times New Roman" w:eastAsia="宋体" w:cs="Times New Roman"/>
          <w:szCs w:val="22"/>
        </w:rPr>
        <w:t> 2g/支</w:t>
      </w:r>
    </w:p>
    <w:p>
      <w:pPr>
        <w:adjustRightInd w:val="0"/>
        <w:snapToGrid w:val="0"/>
        <w:spacing w:line="276" w:lineRule="auto"/>
        <w:rPr>
          <w:rFonts w:ascii="Times New Roman" w:hAnsi="Times New Roman" w:eastAsia="宋体" w:cs="Times New Roman"/>
          <w:szCs w:val="22"/>
        </w:rPr>
      </w:pPr>
      <w:r>
        <w:rPr>
          <w:rFonts w:ascii="黑体" w:hAnsi="黑体" w:eastAsia="黑体" w:cs="Times New Roman"/>
          <w:b/>
          <w:bCs/>
          <w:kern w:val="0"/>
          <w:szCs w:val="21"/>
        </w:rPr>
        <w:t>【贮藏】</w:t>
      </w:r>
      <w:r>
        <w:rPr>
          <w:rFonts w:ascii="Times New Roman" w:hAnsi="Times New Roman" w:eastAsia="宋体" w:cs="Times New Roman"/>
          <w:szCs w:val="22"/>
        </w:rPr>
        <w:t> 密闭，在</w:t>
      </w:r>
      <w:r>
        <w:rPr>
          <w:rFonts w:hint="eastAsia" w:ascii="Times New Roman" w:hAnsi="Times New Roman" w:eastAsia="宋体" w:cs="Times New Roman"/>
          <w:szCs w:val="22"/>
        </w:rPr>
        <w:t>阴</w:t>
      </w:r>
      <w:r>
        <w:rPr>
          <w:rFonts w:ascii="Times New Roman" w:hAnsi="Times New Roman" w:eastAsia="宋体" w:cs="Times New Roman"/>
          <w:szCs w:val="22"/>
        </w:rPr>
        <w:t>凉处</w:t>
      </w:r>
      <w:r>
        <w:rPr>
          <w:rFonts w:hint="eastAsia" w:ascii="Times New Roman" w:hAnsi="Times New Roman" w:eastAsia="宋体" w:cs="Times New Roman"/>
          <w:szCs w:val="22"/>
        </w:rPr>
        <w:t>（</w:t>
      </w:r>
      <w:r>
        <w:rPr>
          <w:rFonts w:ascii="Times New Roman" w:hAnsi="Times New Roman" w:eastAsia="宋体" w:cs="Times New Roman"/>
          <w:szCs w:val="22"/>
        </w:rPr>
        <w:t>不超过20℃</w:t>
      </w:r>
      <w:r>
        <w:rPr>
          <w:rFonts w:hint="eastAsia" w:ascii="Times New Roman" w:hAnsi="Times New Roman" w:eastAsia="宋体" w:cs="Times New Roman"/>
          <w:szCs w:val="22"/>
        </w:rPr>
        <w:t>）</w:t>
      </w:r>
      <w:r>
        <w:rPr>
          <w:rFonts w:ascii="Times New Roman" w:hAnsi="Times New Roman" w:eastAsia="宋体" w:cs="Times New Roman"/>
          <w:szCs w:val="22"/>
        </w:rPr>
        <w:t>保存。</w:t>
      </w:r>
    </w:p>
    <w:p>
      <w:pPr>
        <w:adjustRightInd w:val="0"/>
        <w:snapToGrid w:val="0"/>
        <w:spacing w:line="276" w:lineRule="auto"/>
        <w:rPr>
          <w:rFonts w:ascii="Times New Roman" w:hAnsi="Times New Roman" w:eastAsia="宋体" w:cs="Times New Roman"/>
          <w:szCs w:val="22"/>
        </w:rPr>
      </w:pPr>
      <w:r>
        <w:rPr>
          <w:rFonts w:ascii="Times New Roman" w:hAnsi="Times New Roman" w:eastAsia="黑体" w:cs="Times New Roman"/>
          <w:szCs w:val="22"/>
        </w:rPr>
        <w:t>【</w:t>
      </w:r>
      <w:r>
        <w:rPr>
          <w:rFonts w:ascii="黑体" w:hAnsi="黑体" w:eastAsia="黑体" w:cs="Times New Roman"/>
          <w:b/>
          <w:bCs/>
          <w:kern w:val="0"/>
          <w:szCs w:val="21"/>
        </w:rPr>
        <w:t>有效期】</w:t>
      </w:r>
      <w:r>
        <w:rPr>
          <w:rFonts w:ascii="Times New Roman" w:hAnsi="Times New Roman" w:eastAsia="宋体" w:cs="Times New Roman"/>
          <w:szCs w:val="22"/>
        </w:rPr>
        <w:t> 48个月</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【批准文号】</w:t>
      </w:r>
    </w:p>
    <w:p>
      <w:pPr>
        <w:tabs>
          <w:tab w:val="left" w:pos="540"/>
        </w:tabs>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
    <w:p>
      <w:pPr>
        <w:rPr>
          <w:rFonts w:ascii="黑体" w:hAnsi="黑体" w:eastAsia="黑体"/>
        </w:rPr>
      </w:pPr>
    </w:p>
    <w:p>
      <w:pPr>
        <w:tabs>
          <w:tab w:val="left" w:pos="540"/>
        </w:tabs>
        <w:adjustRightInd w:val="0"/>
        <w:snapToGrid w:val="0"/>
        <w:spacing w:line="276" w:lineRule="auto"/>
        <w:jc w:val="center"/>
        <w:rPr>
          <w:rFonts w:ascii="黑体" w:hAnsi="黑体" w:eastAsia="黑体" w:cs="Times New Roman"/>
          <w:b/>
          <w:bCs/>
          <w:kern w:val="0"/>
          <w:szCs w:val="21"/>
        </w:rPr>
      </w:pPr>
      <w:r>
        <w:rPr>
          <w:rFonts w:hint="eastAsia" w:ascii="黑体" w:hAnsi="黑体" w:eastAsia="黑体" w:cs="Times New Roman"/>
          <w:b/>
          <w:bCs/>
          <w:kern w:val="0"/>
          <w:szCs w:val="21"/>
        </w:rPr>
        <w:t>醋酸泼尼松龙滴眼液说明书</w:t>
      </w:r>
    </w:p>
    <w:p>
      <w:pPr>
        <w:adjustRightInd w:val="0"/>
        <w:snapToGrid w:val="0"/>
        <w:spacing w:line="276" w:lineRule="auto"/>
        <w:jc w:val="right"/>
        <w:rPr>
          <w:rFonts w:ascii="Times New Roman" w:hAnsi="Times New Roman" w:eastAsia="宋体" w:cs="Times New Roman"/>
          <w:bCs/>
          <w:szCs w:val="21"/>
        </w:rPr>
      </w:pPr>
      <w:r>
        <w:rPr>
          <w:rFonts w:ascii="Times New Roman" w:hAnsi="Times New Roman" w:eastAsia="宋体" w:cs="Times New Roman"/>
          <w:bCs/>
          <w:szCs w:val="21"/>
          <w:bdr w:val="single" w:color="auto" w:sz="4" w:space="0"/>
        </w:rPr>
        <w:t>宠物用</w:t>
      </w:r>
      <w:r>
        <w:rPr>
          <w:rFonts w:hint="eastAsia" w:ascii="Times New Roman" w:hAnsi="Times New Roman" w:eastAsia="宋体" w:cs="Times New Roman"/>
          <w:bCs/>
          <w:szCs w:val="21"/>
          <w:bdr w:val="single" w:color="auto" w:sz="4" w:space="0"/>
        </w:rPr>
        <w:t>外用</w:t>
      </w:r>
      <w:r>
        <w:rPr>
          <w:rFonts w:ascii="Times New Roman" w:hAnsi="Times New Roman" w:eastAsia="宋体" w:cs="Times New Roman"/>
          <w:bCs/>
          <w:szCs w:val="21"/>
        </w:rPr>
        <w:t xml:space="preserve">  </w:t>
      </w:r>
    </w:p>
    <w:p>
      <w:pPr>
        <w:tabs>
          <w:tab w:val="left" w:pos="540"/>
        </w:tabs>
        <w:adjustRightInd w:val="0"/>
        <w:snapToGrid w:val="0"/>
        <w:spacing w:line="276" w:lineRule="auto"/>
        <w:rPr>
          <w:rFonts w:ascii="黑体" w:hAnsi="黑体" w:eastAsia="黑体" w:cs="Times New Roman"/>
          <w:kern w:val="0"/>
          <w:szCs w:val="21"/>
        </w:rPr>
      </w:pPr>
      <w:r>
        <w:rPr>
          <w:rFonts w:ascii="黑体" w:hAnsi="黑体" w:eastAsia="黑体" w:cs="Times New Roman"/>
          <w:b/>
          <w:bCs/>
          <w:kern w:val="0"/>
          <w:szCs w:val="21"/>
        </w:rPr>
        <w:t>【兽药名称】</w:t>
      </w:r>
    </w:p>
    <w:p>
      <w:pPr>
        <w:adjustRightInd w:val="0"/>
        <w:snapToGrid w:val="0"/>
        <w:spacing w:line="276" w:lineRule="auto"/>
        <w:ind w:left="420" w:leftChars="200"/>
        <w:jc w:val="left"/>
        <w:rPr>
          <w:rFonts w:ascii="Times New Roman" w:hAnsi="Times New Roman" w:eastAsia="宋体" w:cs="Times New Roman"/>
          <w:bCs/>
          <w:szCs w:val="21"/>
        </w:rPr>
      </w:pPr>
      <w:r>
        <w:rPr>
          <w:rFonts w:ascii="Times New Roman" w:hAnsi="Times New Roman" w:eastAsia="宋体" w:cs="Times New Roman"/>
          <w:bCs/>
          <w:szCs w:val="21"/>
        </w:rPr>
        <w:t>通用名称：</w:t>
      </w:r>
      <w:r>
        <w:rPr>
          <w:rFonts w:hint="eastAsia" w:ascii="Times New Roman" w:hAnsi="Times New Roman" w:eastAsia="宋体" w:cs="Times New Roman"/>
          <w:bCs/>
          <w:szCs w:val="21"/>
        </w:rPr>
        <w:t>醋酸泼尼松龙滴眼液</w:t>
      </w:r>
      <w:r>
        <w:rPr>
          <w:rFonts w:hint="eastAsia" w:ascii="Times New Roman" w:hAnsi="Times New Roman" w:eastAsia="宋体" w:cs="Times New Roman"/>
          <w:bCs/>
          <w:szCs w:val="21"/>
        </w:rPr>
        <w:br w:type="textWrapping"/>
      </w:r>
      <w:r>
        <w:rPr>
          <w:rFonts w:ascii="Times New Roman" w:hAnsi="Times New Roman" w:eastAsia="宋体" w:cs="Times New Roman"/>
          <w:bCs/>
          <w:szCs w:val="21"/>
        </w:rPr>
        <w:t>商品名称：</w:t>
      </w:r>
    </w:p>
    <w:p>
      <w:pPr>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英文名称：</w:t>
      </w:r>
      <w:r>
        <w:rPr>
          <w:rFonts w:hint="eastAsia" w:ascii="Times New Roman" w:hAnsi="Times New Roman" w:eastAsia="宋体" w:cs="Times New Roman"/>
          <w:bCs/>
          <w:kern w:val="0"/>
          <w:szCs w:val="21"/>
        </w:rPr>
        <w:t>Prednisolone Acetate Ophthalmic Suspension</w:t>
      </w:r>
    </w:p>
    <w:p>
      <w:pPr>
        <w:widowControl/>
        <w:shd w:val="clear" w:color="auto" w:fill="FFFFFF"/>
        <w:adjustRightInd w:val="0"/>
        <w:snapToGrid w:val="0"/>
        <w:spacing w:line="276" w:lineRule="auto"/>
        <w:ind w:firstLine="420" w:firstLineChars="200"/>
        <w:jc w:val="left"/>
        <w:rPr>
          <w:rFonts w:ascii="Times New Roman" w:hAnsi="Times New Roman" w:eastAsia="宋体" w:cs="Times New Roman"/>
          <w:bCs/>
          <w:kern w:val="0"/>
          <w:szCs w:val="21"/>
        </w:rPr>
      </w:pPr>
      <w:r>
        <w:rPr>
          <w:rFonts w:ascii="Times New Roman" w:hAnsi="Times New Roman" w:eastAsia="宋体" w:cs="Times New Roman"/>
          <w:bCs/>
          <w:szCs w:val="21"/>
        </w:rPr>
        <w:t>汉语拼音</w:t>
      </w:r>
      <w:r>
        <w:rPr>
          <w:rFonts w:ascii="Times New Roman" w:hAnsi="Times New Roman" w:eastAsia="宋体" w:cs="Times New Roman"/>
          <w:bCs/>
          <w:sz w:val="24"/>
          <w:szCs w:val="21"/>
        </w:rPr>
        <w:t>：</w:t>
      </w:r>
      <w:r>
        <w:rPr>
          <w:rFonts w:hint="eastAsia" w:ascii="Times New Roman" w:hAnsi="Times New Roman" w:eastAsia="宋体" w:cs="Times New Roman"/>
          <w:bCs/>
          <w:kern w:val="0"/>
          <w:szCs w:val="21"/>
        </w:rPr>
        <w:t>Chusuanponisonglong Diyanye</w:t>
      </w:r>
    </w:p>
    <w:p>
      <w:pPr>
        <w:widowControl/>
        <w:adjustRightInd w:val="0"/>
        <w:snapToGrid w:val="0"/>
        <w:spacing w:line="276" w:lineRule="auto"/>
        <w:rPr>
          <w:rFonts w:ascii="Times New Roman" w:hAnsi="Times New Roman" w:eastAsia="宋体" w:cs="Times New Roman"/>
          <w:szCs w:val="21"/>
        </w:rPr>
      </w:pPr>
      <w:r>
        <w:rPr>
          <w:rFonts w:ascii="黑体" w:hAnsi="黑体" w:eastAsia="黑体" w:cs="Times New Roman"/>
          <w:b/>
          <w:bCs/>
          <w:kern w:val="0"/>
          <w:szCs w:val="21"/>
        </w:rPr>
        <w:t>【主要成分】</w:t>
      </w:r>
      <w:r>
        <w:rPr>
          <w:rFonts w:hint="eastAsia" w:ascii="Times New Roman" w:hAnsi="Times New Roman" w:eastAsia="宋体" w:cs="Times New Roman"/>
          <w:szCs w:val="21"/>
        </w:rPr>
        <w:t>醋酸泼尼松龙</w:t>
      </w:r>
    </w:p>
    <w:p>
      <w:pPr>
        <w:adjustRightInd w:val="0"/>
        <w:snapToGrid w:val="0"/>
        <w:spacing w:line="276" w:lineRule="auto"/>
        <w:rPr>
          <w:rFonts w:ascii="Times New Roman" w:hAnsi="Times New Roman" w:eastAsia="宋体" w:cs="Times New Roman"/>
          <w:szCs w:val="21"/>
        </w:rPr>
      </w:pPr>
      <w:r>
        <w:rPr>
          <w:rFonts w:ascii="黑体" w:hAnsi="黑体" w:eastAsia="黑体" w:cs="Times New Roman"/>
          <w:b/>
          <w:bCs/>
          <w:kern w:val="0"/>
          <w:szCs w:val="21"/>
        </w:rPr>
        <w:t>【性状】</w:t>
      </w:r>
      <w:r>
        <w:rPr>
          <w:rFonts w:ascii="Times New Roman" w:hAnsi="Times New Roman" w:eastAsia="宋体" w:cs="Times New Roman"/>
          <w:szCs w:val="21"/>
        </w:rPr>
        <w:t>本品为</w:t>
      </w:r>
      <w:r>
        <w:rPr>
          <w:rFonts w:hint="eastAsia" w:ascii="Times New Roman" w:hAnsi="Times New Roman" w:eastAsia="宋体" w:cs="Times New Roman"/>
          <w:szCs w:val="21"/>
        </w:rPr>
        <w:t>透明澄清的液体。</w:t>
      </w:r>
    </w:p>
    <w:p>
      <w:pPr>
        <w:adjustRightInd w:val="0"/>
        <w:snapToGrid w:val="0"/>
        <w:spacing w:line="276" w:lineRule="auto"/>
        <w:rPr>
          <w:rFonts w:ascii="黑体" w:hAnsi="黑体" w:eastAsia="黑体" w:cs="Times New Roman"/>
          <w:kern w:val="0"/>
          <w:szCs w:val="21"/>
        </w:rPr>
      </w:pPr>
      <w:r>
        <w:rPr>
          <w:rFonts w:ascii="黑体" w:hAnsi="黑体" w:eastAsia="黑体" w:cs="Times New Roman"/>
          <w:b/>
          <w:bCs/>
          <w:kern w:val="0"/>
          <w:szCs w:val="21"/>
        </w:rPr>
        <w:t>【</w:t>
      </w:r>
      <w:r>
        <w:rPr>
          <w:rFonts w:hint="eastAsia" w:ascii="黑体" w:hAnsi="黑体" w:eastAsia="黑体" w:cs="Times New Roman"/>
          <w:b/>
          <w:bCs/>
          <w:kern w:val="0"/>
          <w:szCs w:val="21"/>
        </w:rPr>
        <w:t>药理作用</w:t>
      </w:r>
      <w:r>
        <w:rPr>
          <w:rFonts w:ascii="黑体" w:hAnsi="黑体" w:eastAsia="黑体" w:cs="Times New Roman"/>
          <w:b/>
          <w:bCs/>
          <w:kern w:val="0"/>
          <w:szCs w:val="21"/>
        </w:rPr>
        <w:t>】</w:t>
      </w:r>
      <w:r>
        <w:rPr>
          <w:rFonts w:hint="eastAsia" w:ascii="黑体" w:hAnsi="黑体" w:eastAsia="黑体" w:cs="Times New Roman"/>
          <w:kern w:val="0"/>
          <w:szCs w:val="21"/>
        </w:rPr>
        <w:t xml:space="preserve">药效学 </w:t>
      </w:r>
      <w:r>
        <w:rPr>
          <w:rFonts w:hint="eastAsia" w:ascii="Times New Roman" w:hAnsi="Times New Roman" w:eastAsia="宋体" w:cs="Times New Roman"/>
          <w:szCs w:val="21"/>
        </w:rPr>
        <w:t>本药是一种糖皮质激素，相同剂量下，其抗炎效力是氢化可的松的3～5倍。糖皮质激素可减轻炎症反应时的组织水肿、纤维沉积，抑制毛细血管扩张和吞噬细胞游走，同样也可抑制毛细血管的增生、胶原的沉积及疤痕的形成。</w:t>
      </w:r>
    </w:p>
    <w:p>
      <w:pPr>
        <w:widowControl/>
        <w:adjustRightInd w:val="0"/>
        <w:snapToGrid w:val="0"/>
        <w:spacing w:line="276" w:lineRule="auto"/>
        <w:rPr>
          <w:rFonts w:ascii="Times New Roman" w:hAnsi="Times New Roman" w:eastAsia="宋体" w:cs="Times New Roman"/>
          <w:bCs/>
          <w:szCs w:val="21"/>
        </w:rPr>
      </w:pPr>
      <w:r>
        <w:rPr>
          <w:rFonts w:ascii="黑体" w:hAnsi="黑体" w:eastAsia="黑体" w:cs="Times New Roman"/>
          <w:b/>
          <w:bCs/>
          <w:kern w:val="0"/>
          <w:szCs w:val="21"/>
        </w:rPr>
        <w:t>【</w:t>
      </w:r>
      <w:r>
        <w:rPr>
          <w:rFonts w:hint="eastAsia" w:ascii="黑体" w:hAnsi="黑体" w:eastAsia="黑体" w:cs="Times New Roman"/>
          <w:b/>
          <w:bCs/>
          <w:kern w:val="0"/>
          <w:szCs w:val="21"/>
        </w:rPr>
        <w:t>适应证</w:t>
      </w:r>
      <w:r>
        <w:rPr>
          <w:rFonts w:ascii="黑体" w:hAnsi="黑体" w:eastAsia="黑体" w:cs="Times New Roman"/>
          <w:b/>
          <w:bCs/>
          <w:kern w:val="0"/>
          <w:szCs w:val="21"/>
        </w:rPr>
        <w:t>】</w:t>
      </w:r>
      <w:r>
        <w:rPr>
          <w:rFonts w:hint="eastAsia" w:ascii="Times New Roman" w:hAnsi="Times New Roman" w:eastAsia="宋体" w:cs="Times New Roman"/>
          <w:bCs/>
          <w:szCs w:val="21"/>
        </w:rPr>
        <w:t>（1）需要抗炎治疗的眼部疾病，如非化脓性结膜炎、睑炎、巩膜炎、非疱疹性角膜炎、泪囊炎。</w:t>
      </w:r>
    </w:p>
    <w:p>
      <w:pPr>
        <w:widowControl/>
        <w:adjustRightInd w:val="0"/>
        <w:snapToGrid w:val="0"/>
        <w:spacing w:line="276"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（2）深层角膜炎和前葡萄膜炎。</w:t>
      </w:r>
    </w:p>
    <w:p>
      <w:pPr>
        <w:widowControl/>
        <w:adjustRightInd w:val="0"/>
        <w:snapToGrid w:val="0"/>
        <w:spacing w:line="276" w:lineRule="auto"/>
        <w:ind w:right="150"/>
        <w:rPr>
          <w:rFonts w:ascii="Times New Roman" w:hAnsi="Times New Roman" w:eastAsia="宋体" w:cs="Times New Roman"/>
          <w:bCs/>
          <w:szCs w:val="21"/>
        </w:rPr>
      </w:pPr>
      <w:r>
        <w:rPr>
          <w:rFonts w:ascii="黑体" w:hAnsi="黑体" w:eastAsia="黑体" w:cs="Times New Roman"/>
          <w:b/>
          <w:bCs/>
          <w:kern w:val="0"/>
          <w:szCs w:val="21"/>
        </w:rPr>
        <w:t>【用法与用量】</w:t>
      </w:r>
      <w:r>
        <w:rPr>
          <w:rFonts w:hint="eastAsia" w:ascii="Times New Roman" w:hAnsi="Times New Roman" w:eastAsia="宋体" w:cs="Times New Roman"/>
          <w:bCs/>
          <w:szCs w:val="21"/>
        </w:rPr>
        <w:t>将药液滴于患部。一次1～2滴，一日2～12次，频率取决于炎症的严重程度。开始治疗的24～48小时，剂量可酌情增大至每小时2滴，必要时可加大用药频率。不宜中途终止治疗，应逐步减量停药。</w:t>
      </w:r>
    </w:p>
    <w:p>
      <w:pPr>
        <w:widowControl/>
        <w:shd w:val="clear" w:color="auto" w:fill="FFFFFF"/>
        <w:adjustRightInd w:val="0"/>
        <w:snapToGrid w:val="0"/>
        <w:spacing w:line="276" w:lineRule="auto"/>
        <w:ind w:right="150"/>
        <w:rPr>
          <w:rFonts w:ascii="Times New Roman" w:hAnsi="Times New Roman" w:eastAsia="宋体" w:cs="Times New Roman"/>
          <w:bCs/>
          <w:szCs w:val="21"/>
        </w:rPr>
      </w:pPr>
      <w:r>
        <w:rPr>
          <w:rFonts w:ascii="黑体" w:hAnsi="黑体" w:eastAsia="黑体" w:cs="Times New Roman"/>
          <w:b/>
          <w:bCs/>
          <w:kern w:val="0"/>
          <w:szCs w:val="21"/>
        </w:rPr>
        <w:t>【不良反应】</w:t>
      </w:r>
      <w:r>
        <w:rPr>
          <w:rFonts w:hint="eastAsia" w:ascii="Times New Roman" w:hAnsi="Times New Roman" w:eastAsia="宋体" w:cs="Times New Roman"/>
          <w:bCs/>
          <w:szCs w:val="21"/>
        </w:rPr>
        <w:t>局部眼科治疗后报告的不良反应包括眼压升高、后囊下白内障、伤口愈合延迟、继发性眼部感染（细菌、真菌、病毒）、眼痛、异物感觉、给药时灼热/刺痛、视力模糊。</w:t>
      </w:r>
    </w:p>
    <w:p>
      <w:pPr>
        <w:widowControl/>
        <w:adjustRightInd w:val="0"/>
        <w:snapToGrid w:val="0"/>
        <w:spacing w:line="276" w:lineRule="auto"/>
        <w:ind w:right="150"/>
        <w:rPr>
          <w:rFonts w:ascii="Times New Roman" w:hAnsi="Times New Roman" w:eastAsia="宋体" w:cs="Times New Roman"/>
          <w:bCs/>
          <w:szCs w:val="21"/>
        </w:rPr>
      </w:pPr>
      <w:r>
        <w:rPr>
          <w:rFonts w:hint="eastAsia" w:ascii="黑体" w:hAnsi="黑体" w:eastAsia="黑体" w:cs="Times New Roman"/>
          <w:b/>
          <w:bCs/>
          <w:kern w:val="0"/>
          <w:szCs w:val="21"/>
        </w:rPr>
        <w:t>【禁忌】</w:t>
      </w:r>
      <w:r>
        <w:rPr>
          <w:rFonts w:hint="eastAsia" w:ascii="Times New Roman" w:hAnsi="Times New Roman" w:eastAsia="宋体" w:cs="Times New Roman"/>
          <w:bCs/>
          <w:szCs w:val="21"/>
        </w:rPr>
        <w:t>1.未行抗感染治疗的急性化脓性眼部感染。</w:t>
      </w:r>
    </w:p>
    <w:p>
      <w:pPr>
        <w:widowControl/>
        <w:adjustRightInd w:val="0"/>
        <w:snapToGrid w:val="0"/>
        <w:spacing w:line="276" w:lineRule="auto"/>
        <w:ind w:left="420" w:right="150"/>
        <w:rPr>
          <w:rFonts w:ascii="Times New Roman" w:hAnsi="Times New Roman" w:eastAsia="宋体" w:cs="Times New Roman"/>
          <w:bCs/>
          <w:szCs w:val="21"/>
        </w:rPr>
      </w:pPr>
      <w:r>
        <w:rPr>
          <w:rFonts w:hint="eastAsia" w:ascii="Times New Roman" w:hAnsi="Times New Roman" w:eastAsia="宋体" w:cs="Times New Roman"/>
          <w:bCs/>
          <w:szCs w:val="21"/>
        </w:rPr>
        <w:t>2.急性单纯疱疹病毒性角膜炎。角膜及结膜的病毒感染、眼结核、眼部真菌感染。</w:t>
      </w:r>
    </w:p>
    <w:p>
      <w:pPr>
        <w:widowControl/>
        <w:adjustRightInd w:val="0"/>
        <w:snapToGrid w:val="0"/>
        <w:spacing w:line="276" w:lineRule="auto"/>
        <w:ind w:left="420" w:leftChars="200" w:right="150"/>
        <w:rPr>
          <w:rFonts w:ascii="Times New Roman" w:hAnsi="Times New Roman" w:eastAsia="宋体" w:cs="Times New Roman"/>
          <w:bCs/>
          <w:szCs w:val="21"/>
        </w:rPr>
      </w:pPr>
      <w:r>
        <w:rPr>
          <w:rFonts w:hint="eastAsia" w:ascii="Times New Roman" w:hAnsi="Times New Roman" w:eastAsia="宋体" w:cs="Times New Roman"/>
          <w:bCs/>
          <w:szCs w:val="21"/>
        </w:rPr>
        <w:t>角膜上皮缺损。</w:t>
      </w:r>
    </w:p>
    <w:p>
      <w:pPr>
        <w:widowControl/>
        <w:adjustRightInd w:val="0"/>
        <w:snapToGrid w:val="0"/>
        <w:spacing w:line="276" w:lineRule="auto"/>
        <w:ind w:left="420" w:leftChars="200" w:right="150"/>
        <w:rPr>
          <w:rFonts w:ascii="Times New Roman" w:hAnsi="Times New Roman" w:eastAsia="宋体" w:cs="Times New Roman"/>
          <w:bCs/>
          <w:szCs w:val="21"/>
        </w:rPr>
      </w:pPr>
      <w:r>
        <w:rPr>
          <w:rFonts w:hint="eastAsia" w:ascii="Times New Roman" w:hAnsi="Times New Roman" w:eastAsia="宋体" w:cs="Times New Roman"/>
          <w:bCs/>
          <w:szCs w:val="21"/>
        </w:rPr>
        <w:t>3.对本品成份过敏者。</w:t>
      </w:r>
    </w:p>
    <w:p>
      <w:pPr>
        <w:widowControl/>
        <w:adjustRightInd w:val="0"/>
        <w:snapToGrid w:val="0"/>
        <w:spacing w:line="276" w:lineRule="auto"/>
        <w:ind w:right="150"/>
        <w:rPr>
          <w:rFonts w:ascii="Times New Roman" w:hAnsi="Times New Roman" w:eastAsia="宋体" w:cs="Times New Roman"/>
          <w:bCs/>
          <w:szCs w:val="21"/>
        </w:rPr>
      </w:pPr>
      <w:r>
        <w:rPr>
          <w:rFonts w:ascii="黑体" w:hAnsi="黑体" w:eastAsia="黑体" w:cs="Times New Roman"/>
          <w:b/>
          <w:bCs/>
          <w:kern w:val="0"/>
          <w:szCs w:val="21"/>
        </w:rPr>
        <w:t>【注意事项】</w:t>
      </w:r>
      <w:r>
        <w:rPr>
          <w:rFonts w:hint="eastAsia" w:ascii="Times New Roman" w:hAnsi="Times New Roman" w:eastAsia="宋体" w:cs="Times New Roman"/>
          <w:bCs/>
          <w:szCs w:val="21"/>
        </w:rPr>
        <w:t xml:space="preserve">1.长期用药后若出现眼部慢性炎症的表现，应考虑角膜真菌感染的可能。 </w:t>
      </w:r>
    </w:p>
    <w:p>
      <w:pPr>
        <w:widowControl/>
        <w:adjustRightInd w:val="0"/>
        <w:snapToGrid w:val="0"/>
        <w:spacing w:line="276" w:lineRule="auto"/>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 xml:space="preserve">2.如果发生双重感染，应立即停药并进行适当的治疗。 </w:t>
      </w:r>
    </w:p>
    <w:p>
      <w:pPr>
        <w:widowControl/>
        <w:adjustRightInd w:val="0"/>
        <w:snapToGrid w:val="0"/>
        <w:spacing w:line="276" w:lineRule="auto"/>
        <w:ind w:right="150"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3.使用前摇匀。</w:t>
      </w:r>
    </w:p>
    <w:p>
      <w:pPr>
        <w:tabs>
          <w:tab w:val="left" w:pos="540"/>
        </w:tabs>
        <w:adjustRightInd w:val="0"/>
        <w:snapToGrid w:val="0"/>
        <w:spacing w:line="276" w:lineRule="auto"/>
        <w:rPr>
          <w:rFonts w:ascii="黑体" w:hAnsi="黑体" w:eastAsia="黑体" w:cs="Times New Roman"/>
          <w:b/>
          <w:bCs/>
          <w:kern w:val="0"/>
          <w:szCs w:val="21"/>
        </w:rPr>
      </w:pPr>
      <w:r>
        <w:rPr>
          <w:rFonts w:ascii="黑体" w:hAnsi="黑体" w:eastAsia="黑体" w:cs="Times New Roman"/>
          <w:b/>
          <w:bCs/>
          <w:kern w:val="0"/>
          <w:szCs w:val="21"/>
        </w:rPr>
        <w:t>【规格】</w:t>
      </w:r>
      <w:bookmarkStart w:id="9" w:name="_Hlk86400709"/>
      <w:r>
        <w:rPr>
          <w:rFonts w:hint="eastAsia" w:ascii="Times New Roman" w:hAnsi="Times New Roman" w:eastAsia="宋体" w:cs="Times New Roman"/>
          <w:bCs/>
          <w:szCs w:val="21"/>
        </w:rPr>
        <w:t>（1）5ml</w:t>
      </w:r>
      <w:r>
        <w:rPr>
          <w:rFonts w:hint="eastAsia" w:ascii="宋体" w:hAnsi="宋体" w:eastAsia="宋体" w:cs="宋体"/>
          <w:bCs/>
          <w:szCs w:val="21"/>
        </w:rPr>
        <w:t>﹕</w:t>
      </w:r>
      <w:r>
        <w:rPr>
          <w:rFonts w:hint="eastAsia" w:ascii="Times New Roman" w:hAnsi="Times New Roman" w:eastAsia="宋体" w:cs="Times New Roman"/>
          <w:bCs/>
          <w:szCs w:val="21"/>
        </w:rPr>
        <w:t>50mg （2）10ml</w:t>
      </w:r>
      <w:r>
        <w:rPr>
          <w:rFonts w:hint="eastAsia" w:ascii="宋体" w:hAnsi="宋体" w:eastAsia="宋体" w:cs="宋体"/>
          <w:bCs/>
          <w:szCs w:val="21"/>
        </w:rPr>
        <w:t>﹕</w:t>
      </w:r>
      <w:r>
        <w:rPr>
          <w:rFonts w:hint="eastAsia" w:ascii="Times New Roman" w:hAnsi="Times New Roman" w:eastAsia="宋体" w:cs="Times New Roman"/>
          <w:bCs/>
          <w:szCs w:val="21"/>
        </w:rPr>
        <w:t>100mg</w:t>
      </w:r>
    </w:p>
    <w:bookmarkEnd w:id="9"/>
    <w:p>
      <w:pPr>
        <w:adjustRightInd w:val="0"/>
        <w:snapToGrid w:val="0"/>
        <w:spacing w:line="276" w:lineRule="auto"/>
        <w:rPr>
          <w:rFonts w:ascii="Times New Roman" w:hAnsi="Times New Roman" w:eastAsia="宋体" w:cs="Times New Roman"/>
          <w:bCs/>
          <w:szCs w:val="21"/>
        </w:rPr>
      </w:pPr>
      <w:r>
        <w:rPr>
          <w:rFonts w:ascii="黑体" w:hAnsi="黑体" w:eastAsia="黑体" w:cs="Times New Roman"/>
          <w:b/>
          <w:bCs/>
          <w:kern w:val="0"/>
          <w:szCs w:val="21"/>
        </w:rPr>
        <w:t>【包装】</w:t>
      </w:r>
      <w:r>
        <w:rPr>
          <w:rFonts w:ascii="Times New Roman" w:hAnsi="Times New Roman" w:eastAsia="宋体" w:cs="Times New Roman"/>
          <w:b/>
          <w:szCs w:val="21"/>
        </w:rPr>
        <w:t xml:space="preserve"> </w:t>
      </w:r>
    </w:p>
    <w:p>
      <w:pPr>
        <w:adjustRightInd w:val="0"/>
        <w:snapToGrid w:val="0"/>
        <w:spacing w:line="276" w:lineRule="auto"/>
        <w:ind w:right="-946"/>
        <w:rPr>
          <w:rFonts w:ascii="Times New Roman" w:hAnsi="Times New Roman" w:eastAsia="宋体" w:cs="Times New Roman"/>
          <w:bCs/>
          <w:szCs w:val="21"/>
        </w:rPr>
      </w:pPr>
      <w:r>
        <w:rPr>
          <w:rFonts w:ascii="黑体" w:hAnsi="黑体" w:eastAsia="黑体" w:cs="Times New Roman"/>
          <w:b/>
          <w:bCs/>
          <w:kern w:val="0"/>
          <w:szCs w:val="21"/>
        </w:rPr>
        <w:t>【贮藏】</w:t>
      </w:r>
      <w:r>
        <w:rPr>
          <w:rFonts w:hint="eastAsia" w:ascii="Times New Roman" w:hAnsi="Times New Roman" w:eastAsia="宋体" w:cs="Times New Roman"/>
          <w:bCs/>
          <w:szCs w:val="21"/>
        </w:rPr>
        <w:t>15~25℃贮存，勿冰冻。</w:t>
      </w:r>
    </w:p>
    <w:p>
      <w:pPr>
        <w:adjustRightInd w:val="0"/>
        <w:snapToGrid w:val="0"/>
        <w:spacing w:line="276" w:lineRule="auto"/>
        <w:rPr>
          <w:rFonts w:ascii="Times New Roman" w:hAnsi="Times New Roman" w:eastAsia="黑体" w:cs="Times New Roman"/>
          <w:szCs w:val="21"/>
        </w:rPr>
      </w:pPr>
      <w:r>
        <w:rPr>
          <w:rFonts w:ascii="黑体" w:hAnsi="黑体" w:eastAsia="黑体" w:cs="Times New Roman"/>
          <w:b/>
          <w:bCs/>
          <w:kern w:val="0"/>
          <w:szCs w:val="21"/>
        </w:rPr>
        <w:t>【有效期】</w:t>
      </w:r>
      <w:r>
        <w:rPr>
          <w:rFonts w:hint="eastAsia" w:ascii="Times New Roman" w:hAnsi="Times New Roman" w:eastAsia="宋体" w:cs="Times New Roman"/>
          <w:bCs/>
          <w:szCs w:val="21"/>
        </w:rPr>
        <w:t>24个月</w:t>
      </w:r>
    </w:p>
    <w:p>
      <w:pPr>
        <w:adjustRightInd w:val="0"/>
        <w:snapToGrid w:val="0"/>
        <w:spacing w:line="276" w:lineRule="auto"/>
        <w:ind w:right="-946"/>
        <w:rPr>
          <w:rFonts w:ascii="黑体" w:hAnsi="黑体" w:eastAsia="黑体" w:cs="Times New Roman"/>
          <w:kern w:val="0"/>
          <w:szCs w:val="21"/>
        </w:rPr>
      </w:pPr>
      <w:r>
        <w:rPr>
          <w:rFonts w:ascii="黑体" w:hAnsi="黑体" w:eastAsia="黑体" w:cs="Times New Roman"/>
          <w:b/>
          <w:bCs/>
          <w:kern w:val="0"/>
          <w:szCs w:val="21"/>
        </w:rPr>
        <w:t>【批准文号】</w:t>
      </w:r>
      <w:r>
        <w:rPr>
          <w:rFonts w:ascii="黑体" w:hAnsi="黑体" w:eastAsia="黑体" w:cs="Times New Roman"/>
          <w:kern w:val="0"/>
          <w:szCs w:val="21"/>
        </w:rPr>
        <w:t xml:space="preserve"> </w:t>
      </w:r>
    </w:p>
    <w:p>
      <w:pPr>
        <w:adjustRightInd w:val="0"/>
        <w:snapToGrid w:val="0"/>
        <w:spacing w:line="276" w:lineRule="auto"/>
        <w:rPr>
          <w:rFonts w:ascii="黑体" w:hAnsi="黑体" w:eastAsia="黑体" w:cs="Times New Roman"/>
          <w:b/>
          <w:bCs/>
          <w:kern w:val="0"/>
          <w:szCs w:val="21"/>
        </w:rPr>
      </w:pPr>
      <w:r>
        <w:rPr>
          <w:rFonts w:hint="eastAsia" w:ascii="黑体" w:hAnsi="黑体" w:eastAsia="黑体" w:cs="Times New Roman"/>
          <w:b/>
          <w:bCs/>
          <w:kern w:val="0"/>
          <w:szCs w:val="21"/>
        </w:rPr>
        <w:t>【生产企业】</w:t>
      </w: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905389"/>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B0"/>
    <w:rsid w:val="00000709"/>
    <w:rsid w:val="00076F2D"/>
    <w:rsid w:val="00077E2D"/>
    <w:rsid w:val="000937F8"/>
    <w:rsid w:val="000A54EB"/>
    <w:rsid w:val="000D160B"/>
    <w:rsid w:val="000D3CC5"/>
    <w:rsid w:val="0013248F"/>
    <w:rsid w:val="00134426"/>
    <w:rsid w:val="00147AC4"/>
    <w:rsid w:val="00180AC1"/>
    <w:rsid w:val="001A105B"/>
    <w:rsid w:val="001B57D6"/>
    <w:rsid w:val="00261489"/>
    <w:rsid w:val="00290963"/>
    <w:rsid w:val="002A71B3"/>
    <w:rsid w:val="002E0B70"/>
    <w:rsid w:val="002F78EB"/>
    <w:rsid w:val="00301E17"/>
    <w:rsid w:val="00325B59"/>
    <w:rsid w:val="003440F1"/>
    <w:rsid w:val="00357122"/>
    <w:rsid w:val="003A4FD6"/>
    <w:rsid w:val="003F5702"/>
    <w:rsid w:val="003F63FD"/>
    <w:rsid w:val="00433BD6"/>
    <w:rsid w:val="004340EB"/>
    <w:rsid w:val="00437FA3"/>
    <w:rsid w:val="0044480E"/>
    <w:rsid w:val="004607CA"/>
    <w:rsid w:val="00480FD3"/>
    <w:rsid w:val="00494752"/>
    <w:rsid w:val="004A79E8"/>
    <w:rsid w:val="004F4C79"/>
    <w:rsid w:val="005424AD"/>
    <w:rsid w:val="00593ED7"/>
    <w:rsid w:val="005B376F"/>
    <w:rsid w:val="005F610C"/>
    <w:rsid w:val="00604783"/>
    <w:rsid w:val="0068540C"/>
    <w:rsid w:val="0070381B"/>
    <w:rsid w:val="00785315"/>
    <w:rsid w:val="007941E3"/>
    <w:rsid w:val="007A2ECB"/>
    <w:rsid w:val="007A6CB0"/>
    <w:rsid w:val="008030D8"/>
    <w:rsid w:val="00811A4D"/>
    <w:rsid w:val="00837356"/>
    <w:rsid w:val="008A6B14"/>
    <w:rsid w:val="008C615F"/>
    <w:rsid w:val="008E28C4"/>
    <w:rsid w:val="008E3DE7"/>
    <w:rsid w:val="008F48B3"/>
    <w:rsid w:val="008F5838"/>
    <w:rsid w:val="00933415"/>
    <w:rsid w:val="00973EAF"/>
    <w:rsid w:val="009A4F4E"/>
    <w:rsid w:val="009B62C5"/>
    <w:rsid w:val="009D00E7"/>
    <w:rsid w:val="009F3E52"/>
    <w:rsid w:val="00A20E24"/>
    <w:rsid w:val="00AA0405"/>
    <w:rsid w:val="00AA7884"/>
    <w:rsid w:val="00AD5553"/>
    <w:rsid w:val="00B03E1A"/>
    <w:rsid w:val="00B15E2B"/>
    <w:rsid w:val="00B35272"/>
    <w:rsid w:val="00B776F4"/>
    <w:rsid w:val="00BB0333"/>
    <w:rsid w:val="00BD604B"/>
    <w:rsid w:val="00BE569C"/>
    <w:rsid w:val="00C01CC3"/>
    <w:rsid w:val="00CD158F"/>
    <w:rsid w:val="00D60037"/>
    <w:rsid w:val="00D9154F"/>
    <w:rsid w:val="00DA05BC"/>
    <w:rsid w:val="00DE09A2"/>
    <w:rsid w:val="00DE4BA0"/>
    <w:rsid w:val="00E027F6"/>
    <w:rsid w:val="00E05F9C"/>
    <w:rsid w:val="00E2255F"/>
    <w:rsid w:val="00E525FD"/>
    <w:rsid w:val="00E83EEE"/>
    <w:rsid w:val="00EB59DA"/>
    <w:rsid w:val="00ED3644"/>
    <w:rsid w:val="00EE2AE1"/>
    <w:rsid w:val="00F2411C"/>
    <w:rsid w:val="00F31F9C"/>
    <w:rsid w:val="00F40EB0"/>
    <w:rsid w:val="00F63F26"/>
    <w:rsid w:val="00F9747E"/>
    <w:rsid w:val="00FC7714"/>
    <w:rsid w:val="00FD772A"/>
    <w:rsid w:val="00FE6164"/>
    <w:rsid w:val="56EB4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unhideWhenUsed/>
    <w:qFormat/>
    <w:uiPriority w:val="0"/>
    <w:pPr>
      <w:jc w:val="left"/>
    </w:pPr>
  </w:style>
  <w:style w:type="paragraph" w:styleId="4">
    <w:name w:val="Balloon Text"/>
    <w:basedOn w:val="1"/>
    <w:link w:val="16"/>
    <w:autoRedefine/>
    <w:semiHidden/>
    <w:unhideWhenUsed/>
    <w:qFormat/>
    <w:uiPriority w:val="99"/>
    <w:rPr>
      <w:sz w:val="18"/>
      <w:szCs w:val="18"/>
    </w:rPr>
  </w:style>
  <w:style w:type="paragraph" w:styleId="5">
    <w:name w:val="footer"/>
    <w:basedOn w:val="1"/>
    <w:link w:val="20"/>
    <w:autoRedefine/>
    <w:unhideWhenUsed/>
    <w:qFormat/>
    <w:uiPriority w:val="99"/>
    <w:pPr>
      <w:tabs>
        <w:tab w:val="center" w:pos="4153"/>
        <w:tab w:val="right" w:pos="8306"/>
      </w:tabs>
      <w:snapToGrid w:val="0"/>
      <w:jc w:val="left"/>
    </w:pPr>
    <w:rPr>
      <w:sz w:val="18"/>
      <w:szCs w:val="18"/>
    </w:rPr>
  </w:style>
  <w:style w:type="paragraph" w:styleId="6">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rPr>
      <w:sz w:val="24"/>
    </w:rPr>
  </w:style>
  <w:style w:type="paragraph" w:styleId="8">
    <w:name w:val="annotation subject"/>
    <w:basedOn w:val="3"/>
    <w:next w:val="3"/>
    <w:link w:val="18"/>
    <w:autoRedefine/>
    <w:semiHidden/>
    <w:unhideWhenUsed/>
    <w:qFormat/>
    <w:uiPriority w:val="99"/>
    <w:rPr>
      <w:b/>
      <w:bCs/>
    </w:rPr>
  </w:style>
  <w:style w:type="table" w:styleId="10">
    <w:name w:val="Table Grid"/>
    <w:basedOn w:val="9"/>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autoRedefine/>
    <w:unhideWhenUsed/>
    <w:qFormat/>
    <w:uiPriority w:val="0"/>
    <w:rPr>
      <w:sz w:val="21"/>
      <w:szCs w:val="21"/>
    </w:rPr>
  </w:style>
  <w:style w:type="character" w:customStyle="1" w:styleId="13">
    <w:name w:val="标题 1 Char"/>
    <w:basedOn w:val="11"/>
    <w:link w:val="2"/>
    <w:autoRedefine/>
    <w:qFormat/>
    <w:uiPriority w:val="0"/>
    <w:rPr>
      <w:rFonts w:ascii="宋体" w:hAnsi="宋体" w:eastAsia="宋体" w:cs="Times New Roman"/>
      <w:b/>
      <w:bCs/>
      <w:kern w:val="44"/>
      <w:sz w:val="48"/>
      <w:szCs w:val="48"/>
    </w:rPr>
  </w:style>
  <w:style w:type="paragraph" w:customStyle="1" w:styleId="14">
    <w:name w:val="s3"/>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15">
    <w:name w:val="s7"/>
    <w:basedOn w:val="11"/>
    <w:autoRedefine/>
    <w:qFormat/>
    <w:uiPriority w:val="0"/>
  </w:style>
  <w:style w:type="character" w:customStyle="1" w:styleId="16">
    <w:name w:val="批注框文本 Char"/>
    <w:basedOn w:val="11"/>
    <w:link w:val="4"/>
    <w:autoRedefine/>
    <w:semiHidden/>
    <w:qFormat/>
    <w:uiPriority w:val="99"/>
    <w:rPr>
      <w:sz w:val="18"/>
      <w:szCs w:val="18"/>
    </w:rPr>
  </w:style>
  <w:style w:type="character" w:customStyle="1" w:styleId="17">
    <w:name w:val="批注文字 Char"/>
    <w:basedOn w:val="11"/>
    <w:link w:val="3"/>
    <w:autoRedefine/>
    <w:qFormat/>
    <w:uiPriority w:val="0"/>
    <w:rPr>
      <w:szCs w:val="24"/>
    </w:rPr>
  </w:style>
  <w:style w:type="character" w:customStyle="1" w:styleId="18">
    <w:name w:val="批注主题 Char"/>
    <w:basedOn w:val="17"/>
    <w:link w:val="8"/>
    <w:autoRedefine/>
    <w:semiHidden/>
    <w:qFormat/>
    <w:uiPriority w:val="99"/>
    <w:rPr>
      <w:b/>
      <w:bCs/>
      <w:szCs w:val="24"/>
    </w:rPr>
  </w:style>
  <w:style w:type="character" w:customStyle="1" w:styleId="19">
    <w:name w:val="页眉 Char"/>
    <w:basedOn w:val="11"/>
    <w:link w:val="6"/>
    <w:autoRedefine/>
    <w:qFormat/>
    <w:uiPriority w:val="99"/>
    <w:rPr>
      <w:sz w:val="18"/>
      <w:szCs w:val="18"/>
    </w:rPr>
  </w:style>
  <w:style w:type="character" w:customStyle="1" w:styleId="20">
    <w:name w:val="页脚 Char"/>
    <w:basedOn w:val="11"/>
    <w:link w:val="5"/>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EE01-C588-437E-9C71-30885989147F}">
  <ds:schemaRefs/>
</ds:datastoreItem>
</file>

<file path=docProps/app.xml><?xml version="1.0" encoding="utf-8"?>
<Properties xmlns="http://schemas.openxmlformats.org/officeDocument/2006/extended-properties" xmlns:vt="http://schemas.openxmlformats.org/officeDocument/2006/docPropsVTypes">
  <Template>Normal</Template>
  <Pages>20</Pages>
  <Words>7601</Words>
  <Characters>8362</Characters>
  <Lines>334</Lines>
  <Paragraphs>138</Paragraphs>
  <TotalTime>451</TotalTime>
  <ScaleCrop>false</ScaleCrop>
  <LinksUpToDate>false</LinksUpToDate>
  <CharactersWithSpaces>15825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2023-08-13T23:26:00Z</dcterms:created>
  <dc:creator>徐倩</dc:creator>
  <cp:lastModifiedBy>磊</cp:lastModifiedBy>
  <cp:lastPrinted>2023-08-15T04:39:00Z</cp:lastPrinted>
  <dcterms:modified xsi:type="dcterms:W3CDTF">2024-03-22T05:53:22Z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152E2FE490D6481CB160B88171D4DA5E_13</vt:lpwstr>
  </property>
</Properties>
</file>